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A5C"/>
          <w:sz w:val="72"/>
        </w:rPr>
        <w:t>yelin.io</w:t>
      </w:r>
    </w:p>
    <w:p/>
    <w:p>
      <w:pPr>
        <w:jc w:val="center"/>
      </w:pPr>
      <w:r>
        <w:rPr>
          <w:color w:val="1B3A5C"/>
          <w:sz w:val="48"/>
        </w:rPr>
        <w:t>AI Engineering Support</w:t>
      </w:r>
    </w:p>
    <w:p>
      <w:pPr>
        <w:jc w:val="center"/>
      </w:pPr>
      <w:r>
        <w:rPr>
          <w:color w:val="444444"/>
          <w:sz w:val="36"/>
        </w:rPr>
        <w:t>Statement of Work (SoW)</w:t>
      </w:r>
    </w:p>
    <w:p/>
    <w:p>
      <w:pPr>
        <w:jc w:val="center"/>
      </w:pPr>
      <w:r>
        <w:rPr>
          <w:sz w:val="28"/>
        </w:rPr>
        <w:t>Prepared for: TBI Bank</w:t>
      </w:r>
    </w:p>
    <w:p>
      <w:pPr>
        <w:jc w:val="center"/>
      </w:pPr>
      <w:r>
        <w:rPr>
          <w:color w:val="666666"/>
          <w:sz w:val="22"/>
        </w:rPr>
        <w:t>v1.0  |  March 2026</w:t>
      </w:r>
    </w:p>
    <w:p/>
    <w:p/>
    <w:p/>
    <w:p/>
    <w:p>
      <w:pPr>
        <w:jc w:val="center"/>
      </w:pPr>
      <w:r>
        <w:rPr>
          <w:b/>
          <w:color w:val="666666"/>
          <w:sz w:val="14"/>
        </w:rPr>
        <w:t xml:space="preserve">Confidentiality Statement: </w:t>
      </w:r>
      <w:r>
        <w:rPr>
          <w:color w:val="666666"/>
          <w:sz w:val="14"/>
        </w:rPr>
        <w:t>The information disclosed herein is confidential. The recipient agrees not to distribute this information unless required by law or permitted by a mutual confidentiality agreement.</w:t>
      </w:r>
    </w:p>
    <w:p>
      <w:r>
        <w:br w:type="page"/>
      </w:r>
    </w:p>
    <w:p>
      <w:pPr>
        <w:pStyle w:val="Heading1"/>
      </w:pPr>
      <w:r>
        <w:rPr>
          <w:color w:val="1B3A5C"/>
        </w:rPr>
        <w:t>1. Engagement Overview</w:t>
      </w:r>
    </w:p>
    <w:p>
      <w:r>
        <w:rPr>
          <w:sz w:val="20"/>
        </w:rPr>
        <w:t>Yelin.io will provide AI Engineering Support services to TBI Bank. This engagement focuses on augmenting TBI Bank's technical capabilities with AI engineering expertise, enabling the bank to accelerate its AI initiatives and build internal capacity for AI-driven operations.</w:t>
      </w:r>
    </w:p>
    <w:p>
      <w:r>
        <w:rPr>
          <w:sz w:val="20"/>
        </w:rPr>
        <w:t>This SoW formalizes the scope outlined in the TBI Bank - AI Engineering Support Proposal (v3.1) dated February 2026. Our approach combines hands-on engineering support with knowledge transfer to ensure sustainable outcomes beyond the engagement.</w:t>
      </w:r>
    </w:p>
    <w:p>
      <w:r>
        <w:rPr>
          <w:sz w:val="20"/>
        </w:rPr>
        <w:t>Engagement Type: Implementation</w:t>
      </w:r>
    </w:p>
    <w:p>
      <w:pPr>
        <w:pStyle w:val="Heading1"/>
      </w:pPr>
      <w:r>
        <w:rPr>
          <w:color w:val="1B3A5C"/>
        </w:rPr>
        <w:t>2. About TBI Bank</w:t>
      </w:r>
    </w:p>
    <w:p>
      <w:r>
        <w:rPr>
          <w:sz w:val="20"/>
        </w:rPr>
        <w:t>TBI Bank is a financial institution focused on commercial and retail banking services. As the banking industry increasingly adopts AI and machine learning capabilities, TBI Bank is investing in AI engineering to modernize operations, improve decision-making, and enhance customer experience. This engagement supports TBI Bank's strategic initiative to build AI competency within their technology organization.</w:t>
      </w:r>
    </w:p>
    <w:p>
      <w:pPr>
        <w:pStyle w:val="Heading1"/>
      </w:pPr>
      <w:r>
        <w:rPr>
          <w:color w:val="1B3A5C"/>
        </w:rPr>
        <w:t>3. Business Objectives</w:t>
      </w:r>
    </w:p>
    <w:p>
      <w:r>
        <w:rPr>
          <w:sz w:val="20"/>
        </w:rPr>
        <w:t>The primary business objectives of this engagement are:</w:t>
      </w:r>
    </w:p>
    <w:p>
      <w:pPr>
        <w:pStyle w:val="ListBullet"/>
      </w:pPr>
      <w:r>
        <w:rPr>
          <w:sz w:val="20"/>
        </w:rPr>
        <w:t>Establish AI engineering support infrastructure for TBI Bank's technology team</w:t>
      </w:r>
    </w:p>
    <w:p>
      <w:pPr>
        <w:pStyle w:val="ListBullet"/>
      </w:pPr>
      <w:r>
        <w:rPr>
          <w:sz w:val="20"/>
        </w:rPr>
        <w:t>Accelerate delivery of priority AI initiatives identified in the AI Masters Survey</w:t>
      </w:r>
    </w:p>
    <w:p>
      <w:pPr>
        <w:pStyle w:val="ListBullet"/>
      </w:pPr>
      <w:r>
        <w:rPr>
          <w:sz w:val="20"/>
        </w:rPr>
        <w:t>Build internal AI engineering capacity through knowledge transfer and mentoring</w:t>
      </w:r>
    </w:p>
    <w:p>
      <w:pPr>
        <w:pStyle w:val="ListBullet"/>
      </w:pPr>
      <w:r>
        <w:rPr>
          <w:sz w:val="20"/>
        </w:rPr>
        <w:t>Deliver production-ready AI solutions aligned with banking compliance requirements</w:t>
      </w:r>
    </w:p>
    <w:p>
      <w:pPr>
        <w:pStyle w:val="ListBullet"/>
      </w:pPr>
      <w:r>
        <w:rPr>
          <w:sz w:val="20"/>
        </w:rPr>
        <w:t>Create reusable AI engineering patterns and documentation for ongoing use</w:t>
      </w:r>
    </w:p>
    <w:p>
      <w:r>
        <w:rPr>
          <w:sz w:val="20"/>
        </w:rPr>
        <w:t>Success Criteria:</w:t>
      </w:r>
    </w:p>
    <w:p>
      <w:pPr>
        <w:pStyle w:val="ListBullet"/>
      </w:pPr>
      <w:r>
        <w:rPr>
          <w:sz w:val="20"/>
        </w:rPr>
        <w:t>AI initiatives move from concept to production within the engagement period</w:t>
      </w:r>
    </w:p>
    <w:p>
      <w:pPr>
        <w:pStyle w:val="ListBullet"/>
      </w:pPr>
      <w:r>
        <w:rPr>
          <w:sz w:val="20"/>
        </w:rPr>
        <w:t>TBI Bank team members demonstrate increased AI engineering proficiency</w:t>
      </w:r>
    </w:p>
    <w:p>
      <w:pPr>
        <w:pStyle w:val="ListBullet"/>
      </w:pPr>
      <w:r>
        <w:rPr>
          <w:sz w:val="20"/>
        </w:rPr>
        <w:t>Documented AI engineering playbook delivered for internal use</w:t>
      </w:r>
    </w:p>
    <w:p>
      <w:pPr>
        <w:pStyle w:val="Heading1"/>
      </w:pPr>
      <w:r>
        <w:rPr>
          <w:color w:val="1B3A5C"/>
        </w:rPr>
        <w:t>4. Scope of Work</w:t>
      </w:r>
    </w:p>
    <w:p>
      <w:r>
        <w:rPr>
          <w:sz w:val="20"/>
        </w:rPr>
        <w:t>Yelin.io services will include the following:</w:t>
      </w:r>
    </w:p>
    <w:p>
      <w:pPr>
        <w:pStyle w:val="Heading2"/>
      </w:pPr>
      <w:r>
        <w:t>Workstream 1: AI Engineering Support</w:t>
      </w:r>
    </w:p>
    <w:p>
      <w:pPr>
        <w:pStyle w:val="ListBullet"/>
      </w:pPr>
      <w:r>
        <w:rPr>
          <w:sz w:val="20"/>
        </w:rPr>
        <w:t>Hands-on AI/ML engineering for priority use cases identified by TBI Bank</w:t>
      </w:r>
    </w:p>
    <w:p>
      <w:pPr>
        <w:pStyle w:val="ListBullet"/>
      </w:pPr>
      <w:r>
        <w:rPr>
          <w:sz w:val="20"/>
        </w:rPr>
        <w:t>Architecture design and review for AI systems</w:t>
      </w:r>
    </w:p>
    <w:p>
      <w:pPr>
        <w:pStyle w:val="ListBullet"/>
      </w:pPr>
      <w:r>
        <w:rPr>
          <w:sz w:val="20"/>
        </w:rPr>
        <w:t>Code review and best practices guidance for AI/ML codebases</w:t>
      </w:r>
    </w:p>
    <w:p>
      <w:pPr>
        <w:pStyle w:val="ListBullet"/>
      </w:pPr>
      <w:r>
        <w:rPr>
          <w:sz w:val="20"/>
        </w:rPr>
        <w:t>Integration support for AI models with existing banking systems</w:t>
      </w:r>
    </w:p>
    <w:p>
      <w:pPr>
        <w:pStyle w:val="ListBullet"/>
      </w:pPr>
      <w:r>
        <w:rPr>
          <w:sz w:val="20"/>
        </w:rPr>
        <w:t>Performance optimization of AI/ML pipelines</w:t>
      </w:r>
    </w:p>
    <w:p>
      <w:pPr>
        <w:pStyle w:val="Heading2"/>
      </w:pPr>
      <w:r>
        <w:t>Workstream 2: Knowledge Transfer &amp; Capacity Building</w:t>
      </w:r>
    </w:p>
    <w:p>
      <w:pPr>
        <w:pStyle w:val="ListBullet"/>
      </w:pPr>
      <w:r>
        <w:rPr>
          <w:sz w:val="20"/>
        </w:rPr>
        <w:t>Pair programming and mentoring sessions with TBI Bank engineers</w:t>
      </w:r>
    </w:p>
    <w:p>
      <w:pPr>
        <w:pStyle w:val="ListBullet"/>
      </w:pPr>
      <w:r>
        <w:rPr>
          <w:sz w:val="20"/>
        </w:rPr>
        <w:t>AI engineering playbook creation (documentation, patterns, templates)</w:t>
      </w:r>
    </w:p>
    <w:p>
      <w:pPr>
        <w:pStyle w:val="ListBullet"/>
      </w:pPr>
      <w:r>
        <w:rPr>
          <w:sz w:val="20"/>
        </w:rPr>
        <w:t>Technology selection guidance for AI/ML tooling and infrastructure</w:t>
      </w:r>
    </w:p>
    <w:p>
      <w:pPr>
        <w:pStyle w:val="ListBullet"/>
      </w:pPr>
      <w:r>
        <w:rPr>
          <w:sz w:val="20"/>
        </w:rPr>
        <w:t>Best practices workshops on responsible AI in banking</w:t>
      </w:r>
    </w:p>
    <w:p>
      <w:pPr>
        <w:pStyle w:val="Heading2"/>
      </w:pPr>
      <w:r>
        <w:t>Workstream 3: Strategic Advisory</w:t>
      </w:r>
    </w:p>
    <w:p>
      <w:pPr>
        <w:pStyle w:val="ListBullet"/>
      </w:pPr>
      <w:r>
        <w:rPr>
          <w:sz w:val="20"/>
        </w:rPr>
        <w:t>AI initiative prioritization based on business impact and feasibility</w:t>
      </w:r>
    </w:p>
    <w:p>
      <w:pPr>
        <w:pStyle w:val="ListBullet"/>
      </w:pPr>
      <w:r>
        <w:rPr>
          <w:sz w:val="20"/>
        </w:rPr>
        <w:t>Technical due diligence on AI vendor solutions under consideration</w:t>
      </w:r>
    </w:p>
    <w:p>
      <w:pPr>
        <w:pStyle w:val="ListBullet"/>
      </w:pPr>
      <w:r>
        <w:rPr>
          <w:sz w:val="20"/>
        </w:rPr>
        <w:t>AI roadmap refinement aligned with TBI Bank's technology strategy</w:t>
      </w:r>
    </w:p>
    <w:p>
      <w:pPr>
        <w:pStyle w:val="Heading2"/>
      </w:pPr>
      <w:r>
        <w:t>Out of Scope</w:t>
      </w:r>
    </w:p>
    <w:p>
      <w:pPr>
        <w:pStyle w:val="ListBullet"/>
      </w:pPr>
      <w:r>
        <w:rPr>
          <w:sz w:val="20"/>
        </w:rPr>
        <w:t>Production infrastructure management or DevOps responsibilities</w:t>
      </w:r>
    </w:p>
    <w:p>
      <w:pPr>
        <w:pStyle w:val="ListBullet"/>
      </w:pPr>
      <w:r>
        <w:rPr>
          <w:sz w:val="20"/>
        </w:rPr>
        <w:t>Regulatory compliance advisory (legal or audit functions)</w:t>
      </w:r>
    </w:p>
    <w:p>
      <w:pPr>
        <w:pStyle w:val="ListBullet"/>
      </w:pPr>
      <w:r>
        <w:rPr>
          <w:sz w:val="20"/>
        </w:rPr>
        <w:t>End-user training for non-technical staff</w:t>
      </w:r>
    </w:p>
    <w:p>
      <w:pPr>
        <w:pStyle w:val="ListBullet"/>
      </w:pPr>
      <w:r>
        <w:rPr>
          <w:sz w:val="20"/>
        </w:rPr>
        <w:t>Data migration or ETL development</w:t>
      </w:r>
    </w:p>
    <w:p>
      <w:pPr>
        <w:pStyle w:val="ListBullet"/>
      </w:pPr>
      <w:r>
        <w:rPr>
          <w:sz w:val="20"/>
        </w:rPr>
        <w:t>Ongoing production support after engagement close</w:t>
      </w:r>
    </w:p>
    <w:p>
      <w:pPr>
        <w:pStyle w:val="Heading1"/>
      </w:pPr>
      <w:r>
        <w:rPr>
          <w:color w:val="1B3A5C"/>
        </w:rPr>
        <w:t>5. Assumptions</w:t>
      </w:r>
    </w:p>
    <w:p>
      <w:pPr>
        <w:pStyle w:val="ListBullet"/>
      </w:pPr>
      <w:r>
        <w:rPr>
          <w:sz w:val="20"/>
        </w:rPr>
        <w:t>TBI Bank will designate a primary point of contact for the duration of the engagement.</w:t>
      </w:r>
    </w:p>
    <w:p>
      <w:pPr>
        <w:pStyle w:val="ListBullet"/>
      </w:pPr>
      <w:r>
        <w:rPr>
          <w:sz w:val="20"/>
        </w:rPr>
        <w:t>TBI Bank will provide timely access to relevant systems, data, environments, and personnel as needed.</w:t>
      </w:r>
    </w:p>
    <w:p>
      <w:pPr>
        <w:pStyle w:val="ListBullet"/>
      </w:pPr>
      <w:r>
        <w:rPr>
          <w:sz w:val="20"/>
        </w:rPr>
        <w:t>Work will be performed remotely unless otherwise agreed in writing.</w:t>
      </w:r>
    </w:p>
    <w:p>
      <w:pPr>
        <w:pStyle w:val="ListBullet"/>
      </w:pPr>
      <w:r>
        <w:rPr>
          <w:sz w:val="20"/>
        </w:rPr>
        <w:t>TBI Bank will provide access to subject matter experts for requirements gathering and design review.</w:t>
      </w:r>
    </w:p>
    <w:p>
      <w:pPr>
        <w:pStyle w:val="ListBullet"/>
      </w:pPr>
      <w:r>
        <w:rPr>
          <w:sz w:val="20"/>
        </w:rPr>
        <w:t>TBI Bank is responsible for all internal approvals, change management, and end-user communications.</w:t>
      </w:r>
    </w:p>
    <w:p>
      <w:pPr>
        <w:pStyle w:val="ListBullet"/>
      </w:pPr>
      <w:r>
        <w:rPr>
          <w:sz w:val="20"/>
        </w:rPr>
        <w:t>Any material changes to scope, timeline, or budget will follow the Change Request Process outlined in Appendix A.</w:t>
      </w:r>
    </w:p>
    <w:p>
      <w:pPr>
        <w:pStyle w:val="ListBullet"/>
      </w:pPr>
      <w:r>
        <w:rPr>
          <w:sz w:val="20"/>
        </w:rPr>
        <w:t>Yelin.io will provide all work documentation in English.</w:t>
      </w:r>
    </w:p>
    <w:p>
      <w:pPr>
        <w:pStyle w:val="ListBullet"/>
      </w:pPr>
      <w:r>
        <w:rPr>
          <w:sz w:val="20"/>
        </w:rPr>
        <w:t>Yelin.io resources will work contiguously from start to finish.</w:t>
      </w:r>
    </w:p>
    <w:p>
      <w:pPr>
        <w:pStyle w:val="ListBullet"/>
      </w:pPr>
      <w:r>
        <w:rPr>
          <w:sz w:val="20"/>
        </w:rPr>
        <w:t>TBI Bank will provide access to relevant AI/ML development environments and tools.</w:t>
      </w:r>
    </w:p>
    <w:p>
      <w:pPr>
        <w:pStyle w:val="ListBullet"/>
      </w:pPr>
      <w:r>
        <w:rPr>
          <w:sz w:val="20"/>
        </w:rPr>
        <w:t>TBI Bank engineering team members will be available for pair programming and knowledge transfer sessions as scheduled.</w:t>
      </w:r>
    </w:p>
    <w:p>
      <w:pPr>
        <w:pStyle w:val="ListBullet"/>
      </w:pPr>
      <w:r>
        <w:rPr>
          <w:sz w:val="20"/>
        </w:rPr>
        <w:t>AI initiatives to be supported will be jointly prioritized during the Discovery phase.</w:t>
      </w:r>
    </w:p>
    <w:p>
      <w:pPr>
        <w:pStyle w:val="ListBullet"/>
      </w:pPr>
      <w:r>
        <w:rPr>
          <w:sz w:val="20"/>
        </w:rPr>
        <w:t>Upon completion, a Project Closeout meeting will be held. Failure to provide feedback within 10 business days of closeout will constitute acceptance.</w:t>
      </w:r>
    </w:p>
    <w:p>
      <w:pPr>
        <w:pStyle w:val="Heading1"/>
      </w:pPr>
      <w:r>
        <w:rPr>
          <w:color w:val="1B3A5C"/>
        </w:rPr>
        <w:t>6. Deliverables</w:t>
      </w:r>
    </w:p>
    <w:p>
      <w:r>
        <w:rPr>
          <w:sz w:val="20"/>
        </w:rPr>
        <w:t>Yelin.io will provide the following deliverables. All deliverables will be reviewed and approved by the client, with opportunity for revision.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B3A5C"/>
          </w:tcPr>
          <w:p>
            <w:r>
              <w:rPr>
                <w:b/>
                <w:color w:val="FFFFFF"/>
                <w:sz w:val="20"/>
              </w:rPr>
              <w:t>Deliverable</w:t>
            </w:r>
          </w:p>
        </w:tc>
        <w:tc>
          <w:tcPr>
            <w:tcW w:type="dxa" w:w="2160"/>
            <w:shd w:val="clear" w:color="auto" w:fill="1B3A5C"/>
          </w:tcPr>
          <w:p>
            <w:r>
              <w:rPr>
                <w:b/>
                <w:color w:val="FFFFFF"/>
                <w:sz w:val="20"/>
              </w:rPr>
              <w:t>Description</w:t>
            </w:r>
          </w:p>
        </w:tc>
        <w:tc>
          <w:tcPr>
            <w:tcW w:type="dxa" w:w="2160"/>
            <w:shd w:val="clear" w:color="auto" w:fill="1B3A5C"/>
          </w:tcPr>
          <w:p>
            <w:r>
              <w:rPr>
                <w:b/>
                <w:color w:val="FFFFFF"/>
                <w:sz w:val="20"/>
              </w:rPr>
              <w:t>Format</w:t>
            </w:r>
          </w:p>
        </w:tc>
        <w:tc>
          <w:tcPr>
            <w:tcW w:type="dxa" w:w="2160"/>
            <w:shd w:val="clear" w:color="auto" w:fill="1B3A5C"/>
          </w:tcPr>
          <w:p>
            <w:r>
              <w:rPr>
                <w:b/>
                <w:color w:val="FFFFFF"/>
                <w:sz w:val="20"/>
              </w:rPr>
              <w:t>Due</w:t>
            </w:r>
          </w:p>
        </w:tc>
      </w:tr>
      <w:tr>
        <w:tc>
          <w:tcPr>
            <w:tcW w:type="dxa" w:w="2160"/>
          </w:tcPr>
          <w:p>
            <w:r>
              <w:rPr>
                <w:sz w:val="20"/>
              </w:rPr>
              <w:t>Kick-off Presentation</w:t>
            </w:r>
          </w:p>
        </w:tc>
        <w:tc>
          <w:tcPr>
            <w:tcW w:type="dxa" w:w="2160"/>
          </w:tcPr>
          <w:p>
            <w:r>
              <w:rPr>
                <w:sz w:val="20"/>
              </w:rPr>
              <w:t>Project overview, scope confirmation, team introductions, timeline review, and communication plan</w:t>
            </w:r>
          </w:p>
        </w:tc>
        <w:tc>
          <w:tcPr>
            <w:tcW w:type="dxa" w:w="2160"/>
          </w:tcPr>
          <w:p>
            <w:r>
              <w:rPr>
                <w:sz w:val="20"/>
              </w:rPr>
              <w:t>PPTX</w:t>
            </w:r>
          </w:p>
        </w:tc>
        <w:tc>
          <w:tcPr>
            <w:tcW w:type="dxa" w:w="2160"/>
          </w:tcPr>
          <w:p>
            <w:r>
              <w:rPr>
                <w:sz w:val="20"/>
              </w:rPr>
              <w:t>Week 1</w:t>
            </w:r>
          </w:p>
        </w:tc>
      </w:tr>
      <w:tr>
        <w:tc>
          <w:tcPr>
            <w:tcW w:type="dxa" w:w="2160"/>
          </w:tcPr>
          <w:p>
            <w:r>
              <w:rPr>
                <w:sz w:val="20"/>
              </w:rPr>
              <w:t>AI Initiative Prioritization</w:t>
            </w:r>
          </w:p>
        </w:tc>
        <w:tc>
          <w:tcPr>
            <w:tcW w:type="dxa" w:w="2160"/>
          </w:tcPr>
          <w:p>
            <w:r>
              <w:rPr>
                <w:sz w:val="20"/>
              </w:rPr>
              <w:t>Ranked list of AI initiatives with feasibility scores, business impact assessment, and recommended sequencing</w:t>
            </w:r>
          </w:p>
        </w:tc>
        <w:tc>
          <w:tcPr>
            <w:tcW w:type="dxa" w:w="2160"/>
          </w:tcPr>
          <w:p>
            <w:r>
              <w:rPr>
                <w:sz w:val="20"/>
              </w:rPr>
              <w:t>PPTX + XLSX</w:t>
            </w:r>
          </w:p>
        </w:tc>
        <w:tc>
          <w:tcPr>
            <w:tcW w:type="dxa" w:w="2160"/>
          </w:tcPr>
          <w:p>
            <w:r>
              <w:rPr>
                <w:sz w:val="20"/>
              </w:rPr>
              <w:t>Week 2</w:t>
            </w:r>
          </w:p>
        </w:tc>
      </w:tr>
      <w:tr>
        <w:tc>
          <w:tcPr>
            <w:tcW w:type="dxa" w:w="2160"/>
          </w:tcPr>
          <w:p>
            <w:r>
              <w:rPr>
                <w:sz w:val="20"/>
              </w:rPr>
              <w:t>Architecture &amp; Design Documents</w:t>
            </w:r>
          </w:p>
        </w:tc>
        <w:tc>
          <w:tcPr>
            <w:tcW w:type="dxa" w:w="2160"/>
          </w:tcPr>
          <w:p>
            <w:r>
              <w:rPr>
                <w:sz w:val="20"/>
              </w:rPr>
              <w:t>Technical architecture for prioritized AI solutions, including integration points, data flows, and technology stack</w:t>
            </w:r>
          </w:p>
        </w:tc>
        <w:tc>
          <w:tcPr>
            <w:tcW w:type="dxa" w:w="2160"/>
          </w:tcPr>
          <w:p>
            <w:r>
              <w:rPr>
                <w:sz w:val="20"/>
              </w:rPr>
              <w:t>DOCX</w:t>
            </w:r>
          </w:p>
        </w:tc>
        <w:tc>
          <w:tcPr>
            <w:tcW w:type="dxa" w:w="2160"/>
          </w:tcPr>
          <w:p>
            <w:r>
              <w:rPr>
                <w:sz w:val="20"/>
              </w:rPr>
              <w:t>Week 3-4</w:t>
            </w:r>
          </w:p>
        </w:tc>
      </w:tr>
      <w:tr>
        <w:tc>
          <w:tcPr>
            <w:tcW w:type="dxa" w:w="2160"/>
          </w:tcPr>
          <w:p>
            <w:r>
              <w:rPr>
                <w:sz w:val="20"/>
              </w:rPr>
              <w:t>AI Engineering Playbook</w:t>
            </w:r>
          </w:p>
        </w:tc>
        <w:tc>
          <w:tcPr>
            <w:tcW w:type="dxa" w:w="2160"/>
          </w:tcPr>
          <w:p>
            <w:r>
              <w:rPr>
                <w:sz w:val="20"/>
              </w:rPr>
              <w:t>Reusable patterns, templates, and best practices documentation for TBI Bank's ongoing AI development</w:t>
            </w:r>
          </w:p>
        </w:tc>
        <w:tc>
          <w:tcPr>
            <w:tcW w:type="dxa" w:w="2160"/>
          </w:tcPr>
          <w:p>
            <w:r>
              <w:rPr>
                <w:sz w:val="20"/>
              </w:rPr>
              <w:t>DOCX + Code Repo</w:t>
            </w:r>
          </w:p>
        </w:tc>
        <w:tc>
          <w:tcPr>
            <w:tcW w:type="dxa" w:w="2160"/>
          </w:tcPr>
          <w:p>
            <w:r>
              <w:rPr>
                <w:sz w:val="20"/>
              </w:rPr>
              <w:t>Week 6-8</w:t>
            </w:r>
          </w:p>
        </w:tc>
      </w:tr>
      <w:tr>
        <w:tc>
          <w:tcPr>
            <w:tcW w:type="dxa" w:w="2160"/>
          </w:tcPr>
          <w:p>
            <w:r>
              <w:rPr>
                <w:sz w:val="20"/>
              </w:rPr>
              <w:t>Progress Reports</w:t>
            </w:r>
          </w:p>
        </w:tc>
        <w:tc>
          <w:tcPr>
            <w:tcW w:type="dxa" w:w="2160"/>
          </w:tcPr>
          <w:p>
            <w:r>
              <w:rPr>
                <w:sz w:val="20"/>
              </w:rPr>
              <w:t>Weekly status updates covering completed work, upcoming activities, risks, and decisions needed</w:t>
            </w:r>
          </w:p>
        </w:tc>
        <w:tc>
          <w:tcPr>
            <w:tcW w:type="dxa" w:w="2160"/>
          </w:tcPr>
          <w:p>
            <w:r>
              <w:rPr>
                <w:sz w:val="20"/>
              </w:rPr>
              <w:t>Email</w:t>
            </w:r>
          </w:p>
        </w:tc>
        <w:tc>
          <w:tcPr>
            <w:tcW w:type="dxa" w:w="2160"/>
          </w:tcPr>
          <w:p>
            <w:r>
              <w:rPr>
                <w:sz w:val="20"/>
              </w:rPr>
              <w:t>Weekly</w:t>
            </w:r>
          </w:p>
        </w:tc>
      </w:tr>
      <w:tr>
        <w:tc>
          <w:tcPr>
            <w:tcW w:type="dxa" w:w="2160"/>
          </w:tcPr>
          <w:p>
            <w:r>
              <w:rPr>
                <w:sz w:val="20"/>
              </w:rPr>
              <w:t>Project Closeout Report</w:t>
            </w:r>
          </w:p>
        </w:tc>
        <w:tc>
          <w:tcPr>
            <w:tcW w:type="dxa" w:w="2160"/>
          </w:tcPr>
          <w:p>
            <w:r>
              <w:rPr>
                <w:sz w:val="20"/>
              </w:rPr>
              <w:t>Final summary of work completed, outcomes achieved, recommendations for next steps, and transition plan</w:t>
            </w:r>
          </w:p>
        </w:tc>
        <w:tc>
          <w:tcPr>
            <w:tcW w:type="dxa" w:w="2160"/>
          </w:tcPr>
          <w:p>
            <w:r>
              <w:rPr>
                <w:sz w:val="20"/>
              </w:rPr>
              <w:t>PPTX</w:t>
            </w:r>
          </w:p>
        </w:tc>
        <w:tc>
          <w:tcPr>
            <w:tcW w:type="dxa" w:w="2160"/>
          </w:tcPr>
          <w:p>
            <w:r>
              <w:rPr>
                <w:sz w:val="20"/>
              </w:rPr>
              <w:t>Final Week</w:t>
            </w:r>
          </w:p>
        </w:tc>
      </w:tr>
    </w:tbl>
    <w:p>
      <w:r>
        <w:br w:type="page"/>
      </w:r>
    </w:p>
    <w:p>
      <w:pPr>
        <w:pStyle w:val="Heading1"/>
      </w:pPr>
      <w:r>
        <w:rPr>
          <w:color w:val="1B3A5C"/>
        </w:rPr>
        <w:t>7. Services &amp; Approach</w:t>
      </w:r>
    </w:p>
    <w:p>
      <w:r>
        <w:rPr>
          <w:sz w:val="20"/>
        </w:rPr>
        <w:t>The engagement will follow a phased approach:</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B3A5C"/>
          </w:tcPr>
          <w:p>
            <w:r>
              <w:rPr>
                <w:b/>
                <w:color w:val="FFFFFF"/>
                <w:sz w:val="20"/>
              </w:rPr>
              <w:t>Phase</w:t>
            </w:r>
          </w:p>
        </w:tc>
        <w:tc>
          <w:tcPr>
            <w:tcW w:type="dxa" w:w="2880"/>
            <w:shd w:val="clear" w:color="auto" w:fill="1B3A5C"/>
          </w:tcPr>
          <w:p>
            <w:r>
              <w:rPr>
                <w:b/>
                <w:color w:val="FFFFFF"/>
                <w:sz w:val="20"/>
              </w:rPr>
              <w:t>Activities</w:t>
            </w:r>
          </w:p>
        </w:tc>
        <w:tc>
          <w:tcPr>
            <w:tcW w:type="dxa" w:w="2880"/>
            <w:shd w:val="clear" w:color="auto" w:fill="1B3A5C"/>
          </w:tcPr>
          <w:p>
            <w:r>
              <w:rPr>
                <w:b/>
                <w:color w:val="FFFFFF"/>
                <w:sz w:val="20"/>
              </w:rPr>
              <w:t>Duration</w:t>
            </w:r>
          </w:p>
        </w:tc>
      </w:tr>
      <w:tr>
        <w:tc>
          <w:tcPr>
            <w:tcW w:type="dxa" w:w="2880"/>
          </w:tcPr>
          <w:p>
            <w:r>
              <w:rPr>
                <w:sz w:val="20"/>
              </w:rPr>
              <w:t>Discovery</w:t>
            </w:r>
          </w:p>
        </w:tc>
        <w:tc>
          <w:tcPr>
            <w:tcW w:type="dxa" w:w="2880"/>
          </w:tcPr>
          <w:p>
            <w:r>
              <w:rPr>
                <w:sz w:val="20"/>
              </w:rPr>
              <w:t>Stakeholder interviews, AI Masters Survey review, initiative prioritization, environment setup</w:t>
            </w:r>
          </w:p>
        </w:tc>
        <w:tc>
          <w:tcPr>
            <w:tcW w:type="dxa" w:w="2880"/>
          </w:tcPr>
          <w:p>
            <w:r>
              <w:rPr>
                <w:sz w:val="20"/>
              </w:rPr>
              <w:t>2 weeks</w:t>
            </w:r>
          </w:p>
        </w:tc>
      </w:tr>
      <w:tr>
        <w:tc>
          <w:tcPr>
            <w:tcW w:type="dxa" w:w="2880"/>
          </w:tcPr>
          <w:p>
            <w:r>
              <w:rPr>
                <w:sz w:val="20"/>
              </w:rPr>
              <w:t>Build</w:t>
            </w:r>
          </w:p>
        </w:tc>
        <w:tc>
          <w:tcPr>
            <w:tcW w:type="dxa" w:w="2880"/>
          </w:tcPr>
          <w:p>
            <w:r>
              <w:rPr>
                <w:sz w:val="20"/>
              </w:rPr>
              <w:t>Hands-on AI engineering for priority use cases, architecture design, pair programming, iterative development</w:t>
            </w:r>
          </w:p>
        </w:tc>
        <w:tc>
          <w:tcPr>
            <w:tcW w:type="dxa" w:w="2880"/>
          </w:tcPr>
          <w:p>
            <w:r>
              <w:rPr>
                <w:sz w:val="20"/>
              </w:rPr>
              <w:t>4-6 weeks</w:t>
            </w:r>
          </w:p>
        </w:tc>
      </w:tr>
      <w:tr>
        <w:tc>
          <w:tcPr>
            <w:tcW w:type="dxa" w:w="2880"/>
          </w:tcPr>
          <w:p>
            <w:r>
              <w:rPr>
                <w:sz w:val="20"/>
              </w:rPr>
              <w:t>Deliver</w:t>
            </w:r>
          </w:p>
        </w:tc>
        <w:tc>
          <w:tcPr>
            <w:tcW w:type="dxa" w:w="2880"/>
          </w:tcPr>
          <w:p>
            <w:r>
              <w:rPr>
                <w:sz w:val="20"/>
              </w:rPr>
              <w:t>Code review, testing support, playbook creation, knowledge transfer sessions</w:t>
            </w:r>
          </w:p>
        </w:tc>
        <w:tc>
          <w:tcPr>
            <w:tcW w:type="dxa" w:w="2880"/>
          </w:tcPr>
          <w:p>
            <w:r>
              <w:rPr>
                <w:sz w:val="20"/>
              </w:rPr>
              <w:t>2 weeks</w:t>
            </w:r>
          </w:p>
        </w:tc>
      </w:tr>
      <w:tr>
        <w:tc>
          <w:tcPr>
            <w:tcW w:type="dxa" w:w="2880"/>
          </w:tcPr>
          <w:p>
            <w:r>
              <w:rPr>
                <w:sz w:val="20"/>
              </w:rPr>
              <w:t>Close</w:t>
            </w:r>
          </w:p>
        </w:tc>
        <w:tc>
          <w:tcPr>
            <w:tcW w:type="dxa" w:w="2880"/>
          </w:tcPr>
          <w:p>
            <w:r>
              <w:rPr>
                <w:sz w:val="20"/>
              </w:rPr>
              <w:t>Final deliverable review, closeout presentation, transition plan, sign-off</w:t>
            </w:r>
          </w:p>
        </w:tc>
        <w:tc>
          <w:tcPr>
            <w:tcW w:type="dxa" w:w="2880"/>
          </w:tcPr>
          <w:p>
            <w:r>
              <w:rPr>
                <w:sz w:val="20"/>
              </w:rPr>
              <w:t>1 week</w:t>
            </w:r>
          </w:p>
        </w:tc>
      </w:tr>
    </w:tbl>
    <w:p>
      <w:pPr>
        <w:pStyle w:val="Heading1"/>
      </w:pPr>
      <w:r>
        <w:rPr>
          <w:color w:val="1B3A5C"/>
        </w:rPr>
        <w:t>8. Team &amp; Roles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B3A5C"/>
          </w:tcPr>
          <w:p>
            <w:r>
              <w:rPr>
                <w:b/>
                <w:color w:val="FFFFFF"/>
                <w:sz w:val="20"/>
              </w:rPr>
              <w:t>Role</w:t>
            </w:r>
          </w:p>
        </w:tc>
        <w:tc>
          <w:tcPr>
            <w:tcW w:type="dxa" w:w="2160"/>
            <w:shd w:val="clear" w:color="auto" w:fill="1B3A5C"/>
          </w:tcPr>
          <w:p>
            <w:r>
              <w:rPr>
                <w:b/>
                <w:color w:val="FFFFFF"/>
                <w:sz w:val="20"/>
              </w:rPr>
              <w:t>Name</w:t>
            </w:r>
          </w:p>
        </w:tc>
        <w:tc>
          <w:tcPr>
            <w:tcW w:type="dxa" w:w="2160"/>
            <w:shd w:val="clear" w:color="auto" w:fill="1B3A5C"/>
          </w:tcPr>
          <w:p>
            <w:r>
              <w:rPr>
                <w:b/>
                <w:color w:val="FFFFFF"/>
                <w:sz w:val="20"/>
              </w:rPr>
              <w:t>Responsibility</w:t>
            </w:r>
          </w:p>
        </w:tc>
        <w:tc>
          <w:tcPr>
            <w:tcW w:type="dxa" w:w="2160"/>
            <w:shd w:val="clear" w:color="auto" w:fill="1B3A5C"/>
          </w:tcPr>
          <w:p>
            <w:r>
              <w:rPr>
                <w:b/>
                <w:color w:val="FFFFFF"/>
                <w:sz w:val="20"/>
              </w:rPr>
              <w:t>Type</w:t>
            </w:r>
          </w:p>
        </w:tc>
      </w:tr>
      <w:tr>
        <w:tc>
          <w:tcPr>
            <w:tcW w:type="dxa" w:w="2160"/>
          </w:tcPr>
          <w:p>
            <w:r>
              <w:rPr>
                <w:sz w:val="20"/>
              </w:rPr>
              <w:t>Managing Partner</w:t>
            </w:r>
          </w:p>
        </w:tc>
        <w:tc>
          <w:tcPr>
            <w:tcW w:type="dxa" w:w="2160"/>
          </w:tcPr>
          <w:p>
            <w:r>
              <w:rPr>
                <w:sz w:val="20"/>
              </w:rPr>
              <w:t>Henry Yelin</w:t>
            </w:r>
          </w:p>
        </w:tc>
        <w:tc>
          <w:tcPr>
            <w:tcW w:type="dxa" w:w="2160"/>
          </w:tcPr>
          <w:p>
            <w:r>
              <w:rPr>
                <w:sz w:val="20"/>
              </w:rPr>
              <w:t>Executive oversight, strategic advisory, client relationship management</w:t>
            </w:r>
          </w:p>
        </w:tc>
        <w:tc>
          <w:tcPr>
            <w:tcW w:type="dxa" w:w="2160"/>
          </w:tcPr>
          <w:p>
            <w:r>
              <w:rPr>
                <w:sz w:val="20"/>
              </w:rPr>
              <w:t>Yelin.io</w:t>
            </w:r>
          </w:p>
        </w:tc>
      </w:tr>
      <w:tr>
        <w:tc>
          <w:tcPr>
            <w:tcW w:type="dxa" w:w="2160"/>
          </w:tcPr>
          <w:p>
            <w:r>
              <w:rPr>
                <w:sz w:val="20"/>
              </w:rPr>
              <w:t>Lead Consultant</w:t>
            </w:r>
          </w:p>
        </w:tc>
        <w:tc>
          <w:tcPr>
            <w:tcW w:type="dxa" w:w="2160"/>
          </w:tcPr>
          <w:p>
            <w:r>
              <w:rPr>
                <w:sz w:val="20"/>
              </w:rPr>
              <w:t>Mike Duncan</w:t>
            </w:r>
          </w:p>
        </w:tc>
        <w:tc>
          <w:tcPr>
            <w:tcW w:type="dxa" w:w="2160"/>
          </w:tcPr>
          <w:p>
            <w:r>
              <w:rPr>
                <w:sz w:val="20"/>
              </w:rPr>
              <w:t>Day-to-day delivery, AI engineering, architecture, knowledge transfer, project management</w:t>
            </w:r>
          </w:p>
        </w:tc>
        <w:tc>
          <w:tcPr>
            <w:tcW w:type="dxa" w:w="2160"/>
          </w:tcPr>
          <w:p>
            <w:r>
              <w:rPr>
                <w:sz w:val="20"/>
              </w:rPr>
              <w:t>Yelin.io</w:t>
            </w:r>
          </w:p>
        </w:tc>
      </w:tr>
      <w:tr>
        <w:tc>
          <w:tcPr>
            <w:tcW w:type="dxa" w:w="2160"/>
          </w:tcPr>
          <w:p>
            <w:r>
              <w:rPr>
                <w:sz w:val="20"/>
              </w:rPr>
              <w:t>Executive Sponsor</w:t>
            </w:r>
          </w:p>
        </w:tc>
        <w:tc>
          <w:tcPr>
            <w:tcW w:type="dxa" w:w="2160"/>
          </w:tcPr>
          <w:p>
            <w:r>
              <w:rPr>
                <w:sz w:val="20"/>
              </w:rPr>
              <w:t>[TBD]</w:t>
            </w:r>
          </w:p>
        </w:tc>
        <w:tc>
          <w:tcPr>
            <w:tcW w:type="dxa" w:w="2160"/>
          </w:tcPr>
          <w:p>
            <w:r>
              <w:rPr>
                <w:sz w:val="20"/>
              </w:rPr>
              <w:t>Strategic oversight, budget authority, escalation path</w:t>
            </w:r>
          </w:p>
        </w:tc>
        <w:tc>
          <w:tcPr>
            <w:tcW w:type="dxa" w:w="2160"/>
          </w:tcPr>
          <w:p>
            <w:r>
              <w:rPr>
                <w:sz w:val="20"/>
              </w:rPr>
              <w:t>TBI Bank</w:t>
            </w:r>
          </w:p>
        </w:tc>
      </w:tr>
      <w:tr>
        <w:tc>
          <w:tcPr>
            <w:tcW w:type="dxa" w:w="2160"/>
          </w:tcPr>
          <w:p>
            <w:r>
              <w:rPr>
                <w:sz w:val="20"/>
              </w:rPr>
              <w:t>Technical Lead / POC</w:t>
            </w:r>
          </w:p>
        </w:tc>
        <w:tc>
          <w:tcPr>
            <w:tcW w:type="dxa" w:w="2160"/>
          </w:tcPr>
          <w:p>
            <w:r>
              <w:rPr>
                <w:sz w:val="20"/>
              </w:rPr>
              <w:t>[TBD]</w:t>
            </w:r>
          </w:p>
        </w:tc>
        <w:tc>
          <w:tcPr>
            <w:tcW w:type="dxa" w:w="2160"/>
          </w:tcPr>
          <w:p>
            <w:r>
              <w:rPr>
                <w:sz w:val="20"/>
              </w:rPr>
              <w:t>Day-to-day coordination, technical requirements, environment access, approvals</w:t>
            </w:r>
          </w:p>
        </w:tc>
        <w:tc>
          <w:tcPr>
            <w:tcW w:type="dxa" w:w="2160"/>
          </w:tcPr>
          <w:p>
            <w:r>
              <w:rPr>
                <w:sz w:val="20"/>
              </w:rPr>
              <w:t>TBI Bank</w:t>
            </w:r>
          </w:p>
        </w:tc>
      </w:tr>
      <w:tr>
        <w:tc>
          <w:tcPr>
            <w:tcW w:type="dxa" w:w="2160"/>
          </w:tcPr>
          <w:p>
            <w:r>
              <w:rPr>
                <w:sz w:val="20"/>
              </w:rPr>
              <w:t>AI/ML Engineers</w:t>
            </w:r>
          </w:p>
        </w:tc>
        <w:tc>
          <w:tcPr>
            <w:tcW w:type="dxa" w:w="2160"/>
          </w:tcPr>
          <w:p>
            <w:r>
              <w:rPr>
                <w:sz w:val="20"/>
              </w:rPr>
              <w:t>[TBD]</w:t>
            </w:r>
          </w:p>
        </w:tc>
        <w:tc>
          <w:tcPr>
            <w:tcW w:type="dxa" w:w="2160"/>
          </w:tcPr>
          <w:p>
            <w:r>
              <w:rPr>
                <w:sz w:val="20"/>
              </w:rPr>
              <w:t>Pair programming participants, knowledge transfer recipients, UAT execution</w:t>
            </w:r>
          </w:p>
        </w:tc>
        <w:tc>
          <w:tcPr>
            <w:tcW w:type="dxa" w:w="2160"/>
          </w:tcPr>
          <w:p>
            <w:r>
              <w:rPr>
                <w:sz w:val="20"/>
              </w:rPr>
              <w:t>TBI Bank</w:t>
            </w:r>
          </w:p>
        </w:tc>
      </w:tr>
    </w:tbl>
    <w:p>
      <w:pPr>
        <w:pStyle w:val="Heading1"/>
      </w:pPr>
      <w:r>
        <w:rPr>
          <w:color w:val="1B3A5C"/>
        </w:rPr>
        <w:t>9. Timeline</w:t>
      </w:r>
    </w:p>
    <w:p>
      <w:r>
        <w:rPr>
          <w:sz w:val="20"/>
        </w:rPr>
        <w:t>The project timeline is approximately 8-10 weeks:</w:t>
      </w:r>
    </w:p>
    <w:p>
      <w:pPr>
        <w:pStyle w:val="ListBullet"/>
      </w:pPr>
      <w:r>
        <w:rPr>
          <w:sz w:val="20"/>
        </w:rPr>
        <w:t>Discovery Phase: 2 weeks -- [TBD start date]</w:t>
      </w:r>
    </w:p>
    <w:p>
      <w:pPr>
        <w:pStyle w:val="ListBullet"/>
      </w:pPr>
      <w:r>
        <w:rPr>
          <w:sz w:val="20"/>
        </w:rPr>
        <w:t>Build Phase: 4-6 weeks</w:t>
      </w:r>
    </w:p>
    <w:p>
      <w:pPr>
        <w:pStyle w:val="ListBullet"/>
      </w:pPr>
      <w:r>
        <w:rPr>
          <w:sz w:val="20"/>
        </w:rPr>
        <w:t>Deliver Phase: 2 weeks</w:t>
      </w:r>
    </w:p>
    <w:p>
      <w:pPr>
        <w:pStyle w:val="ListBullet"/>
      </w:pPr>
      <w:r>
        <w:rPr>
          <w:sz w:val="20"/>
        </w:rPr>
        <w:t>Close Phase: 1 week</w:t>
      </w:r>
    </w:p>
    <w:p>
      <w:r>
        <w:rPr>
          <w:sz w:val="20"/>
        </w:rPr>
        <w:t>Key Milestones:</w:t>
      </w:r>
    </w:p>
    <w:p>
      <w:pPr>
        <w:pStyle w:val="ListBullet"/>
      </w:pPr>
      <w:r>
        <w:rPr>
          <w:sz w:val="20"/>
        </w:rPr>
        <w:t>Kick-off Meeting -- Week 1</w:t>
      </w:r>
    </w:p>
    <w:p>
      <w:pPr>
        <w:pStyle w:val="ListBullet"/>
      </w:pPr>
      <w:r>
        <w:rPr>
          <w:sz w:val="20"/>
        </w:rPr>
        <w:t>AI Initiative Prioritization Approved -- End of Week 2</w:t>
      </w:r>
    </w:p>
    <w:p>
      <w:pPr>
        <w:pStyle w:val="ListBullet"/>
      </w:pPr>
      <w:r>
        <w:rPr>
          <w:sz w:val="20"/>
        </w:rPr>
        <w:t>Architecture Review Gate -- Week 4</w:t>
      </w:r>
    </w:p>
    <w:p>
      <w:pPr>
        <w:pStyle w:val="ListBullet"/>
      </w:pPr>
      <w:r>
        <w:rPr>
          <w:sz w:val="20"/>
        </w:rPr>
        <w:t>Playbook Draft Review -- Week 7</w:t>
      </w:r>
    </w:p>
    <w:p>
      <w:pPr>
        <w:pStyle w:val="ListBullet"/>
      </w:pPr>
      <w:r>
        <w:rPr>
          <w:sz w:val="20"/>
        </w:rPr>
        <w:t>Project Closeout -- Final Week</w:t>
      </w:r>
    </w:p>
    <w:p>
      <w:pPr>
        <w:pStyle w:val="Heading1"/>
      </w:pPr>
      <w:r>
        <w:rPr>
          <w:color w:val="1B3A5C"/>
        </w:rPr>
        <w:t>10. Pricing &amp; Payment</w:t>
      </w:r>
    </w:p>
    <w:p>
      <w:r>
        <w:rPr>
          <w:sz w:val="20"/>
        </w:rPr>
        <w:t>[TBD -- Pricing to be confirmed upon engagement approval]</w:t>
      </w:r>
    </w:p>
    <w:p>
      <w:r>
        <w:rPr>
          <w:sz w:val="20"/>
        </w:rPr>
        <w:t>Payment Schedule:</w:t>
      </w:r>
    </w:p>
    <w:p>
      <w:pPr>
        <w:pStyle w:val="ListBullet"/>
      </w:pPr>
      <w:r>
        <w:rPr>
          <w:sz w:val="20"/>
        </w:rPr>
        <w:t>[TBD -- To be structured as milestone-based or monthly invoicing]</w:t>
      </w:r>
    </w:p>
    <w:p>
      <w:r>
        <w:rPr>
          <w:sz w:val="20"/>
        </w:rPr>
        <w:t>Terms: Net 30 from invoice date.</w:t>
      </w:r>
    </w:p>
    <w:p>
      <w:pPr>
        <w:pStyle w:val="Heading1"/>
      </w:pPr>
      <w:r>
        <w:rPr>
          <w:color w:val="1B3A5C"/>
        </w:rPr>
        <w:t>11. Terms &amp; Conditions</w:t>
      </w:r>
    </w:p>
    <w:p>
      <w:pPr>
        <w:pStyle w:val="Heading2"/>
      </w:pPr>
      <w:r>
        <w:t>Confidentiality</w:t>
      </w:r>
    </w:p>
    <w:p>
      <w:r>
        <w:rPr>
          <w:sz w:val="20"/>
        </w:rPr>
        <w:t>Both parties agree to maintain the confidentiality of all proprietary and sensitive information shared during this engagement. Neither party will disclose confidential information to third parties without prior written consent, except as required by law.</w:t>
      </w:r>
    </w:p>
    <w:p>
      <w:pPr>
        <w:pStyle w:val="Heading2"/>
      </w:pPr>
      <w:r>
        <w:t>Intellectual Property &amp; Work Product</w:t>
      </w:r>
    </w:p>
    <w:p>
      <w:r>
        <w:rPr>
          <w:sz w:val="20"/>
        </w:rPr>
        <w:t>All deliverables and work product created specifically for TBI Bank during this engagement become the property of TBI Bank upon payment in full. Yelin.io retains ownership of pre-existing methodologies, frameworks, and tools. TBI Bank receives a perpetual, non-exclusive license to use any Yelin.io pre-existing IP incorporated into deliverables.</w:t>
      </w:r>
    </w:p>
    <w:p>
      <w:pPr>
        <w:pStyle w:val="Heading2"/>
      </w:pPr>
      <w:r>
        <w:t>Limitation of Liability</w:t>
      </w:r>
    </w:p>
    <w:p>
      <w:r>
        <w:rPr>
          <w:sz w:val="20"/>
        </w:rPr>
        <w:t>Yelin.io's total liability under this SoW shall not exceed the total fees paid by TBI Bank for the engagement. Neither party shall be liable for indirect, incidental, or consequential damages.</w:t>
      </w:r>
    </w:p>
    <w:p>
      <w:pPr>
        <w:pStyle w:val="Heading2"/>
      </w:pPr>
      <w:r>
        <w:t>Termination</w:t>
      </w:r>
    </w:p>
    <w:p>
      <w:r>
        <w:rPr>
          <w:sz w:val="20"/>
        </w:rPr>
        <w:t>Either party may terminate this SoW with thirty (30) days written notice. In the event of termination, TBI Bank will pay Yelin.io for all work completed through the termination date.</w:t>
      </w:r>
    </w:p>
    <w:p>
      <w:r>
        <w:br w:type="page"/>
      </w:r>
    </w:p>
    <w:p>
      <w:pPr>
        <w:pStyle w:val="Heading1"/>
      </w:pPr>
      <w:r>
        <w:rPr>
          <w:color w:val="1B3A5C"/>
        </w:rPr>
        <w:t>Appendix A: Change Request Process</w:t>
      </w:r>
    </w:p>
    <w:p>
      <w:r>
        <w:rPr>
          <w:sz w:val="20"/>
        </w:rPr>
        <w:t>In the event of a material change to the Statement of Work, Yelin.io may issue a change request. A material change may consist of:</w:t>
      </w:r>
    </w:p>
    <w:p>
      <w:pPr>
        <w:pStyle w:val="ListBullet"/>
      </w:pPr>
      <w:r>
        <w:rPr>
          <w:sz w:val="20"/>
        </w:rPr>
        <w:t>A substantial change to the scope of the project</w:t>
      </w:r>
    </w:p>
    <w:p>
      <w:pPr>
        <w:pStyle w:val="ListBullet"/>
      </w:pPr>
      <w:r>
        <w:rPr>
          <w:sz w:val="20"/>
        </w:rPr>
        <w:t>An extension of the project timeline</w:t>
      </w:r>
    </w:p>
    <w:p>
      <w:pPr>
        <w:pStyle w:val="ListBullet"/>
      </w:pPr>
      <w:r>
        <w:rPr>
          <w:sz w:val="20"/>
        </w:rPr>
        <w:t>Additional resources not originally outlined in this SoW</w:t>
      </w:r>
    </w:p>
    <w:p>
      <w:r>
        <w:rPr>
          <w:sz w:val="20"/>
        </w:rPr>
        <w:t>Yelin.io will follow the process outlined below:</w:t>
      </w:r>
    </w:p>
    <w:p>
      <w:pPr>
        <w:pStyle w:val="ListBullet"/>
      </w:pPr>
      <w:r>
        <w:rPr>
          <w:sz w:val="20"/>
        </w:rPr>
        <w:t>1. Yelin.io will notify the client's project lead of a potential change request.</w:t>
      </w:r>
    </w:p>
    <w:p>
      <w:pPr>
        <w:pStyle w:val="ListBullet"/>
      </w:pPr>
      <w:r>
        <w:rPr>
          <w:sz w:val="20"/>
        </w:rPr>
        <w:t>2. Yelin.io will meet with the client to discuss the requirements and impact.</w:t>
      </w:r>
    </w:p>
    <w:p>
      <w:pPr>
        <w:pStyle w:val="ListBullet"/>
      </w:pPr>
      <w:r>
        <w:rPr>
          <w:sz w:val="20"/>
        </w:rPr>
        <w:t>3. Yelin.io will provide a level of effort and associated cost estimate.</w:t>
      </w:r>
    </w:p>
    <w:p>
      <w:pPr>
        <w:pStyle w:val="ListBullet"/>
      </w:pPr>
      <w:r>
        <w:rPr>
          <w:sz w:val="20"/>
        </w:rPr>
        <w:t>4. Yelin.io will obtain sign-off from the client's project sponsor before any additional work begins.</w:t>
      </w:r>
    </w:p>
    <w:p/>
    <w:p/>
    <w:tbl>
      <w:tblPr>
        <w:tblStyle w:val="TableGrid"/>
        <w:tblW w:type="auto" w:w="0"/>
        <w:tblLook w:firstColumn="1" w:firstRow="1" w:lastColumn="0" w:lastRow="0" w:noHBand="0" w:noVBand="1" w:val="04A0"/>
      </w:tblPr>
      <w:tblGrid>
        <w:gridCol w:w="4320"/>
        <w:gridCol w:w="4320"/>
      </w:tblGrid>
      <w:tr>
        <w:tc>
          <w:tcPr>
            <w:tcW w:type="dxa" w:w="4320"/>
            <w:shd w:val="clear" w:color="auto" w:fill="1B3A5C"/>
          </w:tcPr>
          <w:p>
            <w:r>
              <w:rPr>
                <w:b/>
                <w:color w:val="FFFFFF"/>
                <w:sz w:val="20"/>
              </w:rPr>
              <w:t>Yelin.io</w:t>
            </w:r>
          </w:p>
        </w:tc>
        <w:tc>
          <w:tcPr>
            <w:tcW w:type="dxa" w:w="4320"/>
            <w:shd w:val="clear" w:color="auto" w:fill="1B3A5C"/>
          </w:tcPr>
          <w:p>
            <w:r>
              <w:rPr>
                <w:b/>
                <w:color w:val="FFFFFF"/>
                <w:sz w:val="20"/>
              </w:rPr>
              <w:t>TBI Bank</w:t>
            </w:r>
          </w:p>
        </w:tc>
      </w:tr>
      <w:tr>
        <w:tc>
          <w:tcPr>
            <w:tcW w:type="dxa" w:w="4320"/>
          </w:tcPr>
          <w:p>
            <w:r>
              <w:t>Signature: ____________________</w:t>
            </w:r>
          </w:p>
        </w:tc>
        <w:tc>
          <w:tcPr>
            <w:tcW w:type="dxa" w:w="4320"/>
          </w:tcPr>
          <w:p>
            <w:r>
              <w:t>Signature: ____________________</w:t>
            </w:r>
          </w:p>
        </w:tc>
      </w:tr>
      <w:tr>
        <w:tc>
          <w:tcPr>
            <w:tcW w:type="dxa" w:w="4320"/>
          </w:tcPr>
          <w:p>
            <w:r>
              <w:t>Name: ____________________</w:t>
            </w:r>
          </w:p>
        </w:tc>
        <w:tc>
          <w:tcPr>
            <w:tcW w:type="dxa" w:w="4320"/>
          </w:tcPr>
          <w:p>
            <w:r>
              <w:t>Name: ____________________</w:t>
            </w:r>
          </w:p>
        </w:tc>
      </w:tr>
      <w:tr>
        <w:tc>
          <w:tcPr>
            <w:tcW w:type="dxa" w:w="4320"/>
          </w:tcPr>
          <w:p>
            <w:r>
              <w:t>Date: ____________________</w:t>
            </w:r>
          </w:p>
        </w:tc>
        <w:tc>
          <w:tcPr>
            <w:tcW w:type="dxa" w:w="4320"/>
          </w:tcPr>
          <w:p>
            <w:r>
              <w:t>Date: ____________________</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