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4"/>
          <w:szCs w:val="44"/>
        </w:rPr>
        <w:t xml:space="preserve">EURAZEO AI HACKATHON</w:t>
      </w:r>
    </w:p>
    <w:p>
      <w:pPr>
        <w:spacing w:after="400"/>
        <w:jc w:val="center"/>
      </w:pPr>
      <w:r>
        <w:rPr>
          <w:rFonts w:ascii="Arial" w:cs="Arial" w:eastAsia="Arial" w:hAnsi="Arial"/>
          <w:color w:val="2E75B6"/>
          <w:sz w:val="28"/>
          <w:szCs w:val="28"/>
        </w:rPr>
        <w:t xml:space="preserve">Refined Proposal &amp; Scope</w:t>
      </w:r>
    </w:p>
    <w:p>
      <w:pPr>
        <w:pBdr>
          <w:top w:val="single" w:color="2E75B6" w:sz="6" w:space="12"/>
        </w:pBdr>
        <w:spacing w:before="600" w:after="200"/>
        <w:jc w:val="center"/>
      </w:pPr>
      <w:r>
        <w:rPr>
          <w:rFonts w:ascii="Arial" w:cs="Arial" w:eastAsia="Arial" w:hAnsi="Arial"/>
          <w:color w:val="666666"/>
          <w:sz w:val="22"/>
          <w:szCs w:val="22"/>
        </w:rPr>
        <w:t xml:space="preserve">Prepared by Yelin.io</w:t>
      </w:r>
    </w:p>
    <w:p>
      <w:pPr>
        <w:jc w:val="center"/>
      </w:pPr>
      <w:r>
        <w:rPr>
          <w:rFonts w:ascii="Arial" w:cs="Arial" w:eastAsia="Arial" w:hAnsi="Arial"/>
          <w:color w:val="666666"/>
          <w:sz w:val="22"/>
          <w:szCs w:val="22"/>
        </w:rPr>
        <w:t xml:space="preserve">February 2026 — DRAFT</w:t>
      </w:r>
    </w:p>
    <w:p>
      <w:pPr>
        <w:spacing w:before="1200"/>
      </w:pPr>
    </w:p>
    <w:p>
      <w:pPr>
        <w:jc w:val="center"/>
      </w:pPr>
      <w:r>
        <w:rPr>
          <w:rFonts w:ascii="Arial" w:cs="Arial" w:eastAsia="Arial" w:hAnsi="Arial"/>
          <w:color w:val="666666"/>
          <w:sz w:val="20"/>
          <w:szCs w:val="20"/>
        </w:rPr>
        <w:t xml:space="preserve">Henry Yelin  |  Russell Beggs  |  Michael Duncan</w:t>
      </w:r>
    </w:p>
    <w:p>
      <w:r>
        <w:br w:type="page"/>
      </w:r>
    </w:p>
    <w:p>
      <w:pPr>
        <w:pStyle w:val="Heading1"/>
        <w:spacing w:before="360" w:after="120"/>
      </w:pPr>
      <w:r>
        <w:rPr>
          <w:rFonts w:ascii="Arial" w:cs="Arial" w:eastAsia="Arial" w:hAnsi="Arial"/>
          <w:b/>
          <w:bCs/>
          <w:color w:val="1B3A5C"/>
          <w:sz w:val="32"/>
          <w:szCs w:val="32"/>
        </w:rPr>
        <w:t xml:space="preserve">1. Executive Summary</w:t>
      </w:r>
    </w:p>
    <w:p>
      <w:pPr>
        <w:spacing w:after="160"/>
      </w:pPr>
      <w:r>
        <w:rPr>
          <w:rFonts w:ascii="Arial" w:cs="Arial" w:eastAsia="Arial" w:hAnsi="Arial"/>
          <w:color w:val="333333"/>
          <w:sz w:val="22"/>
          <w:szCs w:val="22"/>
        </w:rPr>
        <w:t xml:space="preserve">This proposal outlines Yelin.io’s recommended approach for Eurazeo’s portfolio-wide AI Hackathon — a 24-hour intensive event designed to accelerate AI adoption and demonstrate platform value to portfolio companies and LPs.</w:t>
      </w:r>
    </w:p>
    <w:p>
      <w:pPr>
        <w:spacing w:after="160"/>
      </w:pPr>
      <w:r>
        <w:rPr>
          <w:rFonts w:ascii="Arial" w:cs="Arial" w:eastAsia="Arial" w:hAnsi="Arial"/>
          <w:color w:val="333333"/>
          <w:sz w:val="22"/>
          <w:szCs w:val="22"/>
        </w:rPr>
        <w:t xml:space="preserve">Based on our Feb 12 discussion with Guillaume, Gurvan, Florent, and the Yelin.io team, we recommend focusing on building new AI product capabilities as the primary track, with the option to incorporate engineering and go-to-market elements as secondary threads.</w:t>
      </w:r>
    </w:p>
    <w:p>
      <w:pPr>
        <w:spacing w:after="160"/>
      </w:pPr>
      <w:r>
        <w:rPr>
          <w:rFonts w:ascii="Arial" w:cs="Arial" w:eastAsia="Arial" w:hAnsi="Arial"/>
          <w:b/>
          <w:bCs/>
          <w:color w:val="1B3A5C"/>
          <w:sz w:val="22"/>
          <w:szCs w:val="22"/>
        </w:rPr>
        <w:t xml:space="preserve">Scale: </w:t>
      </w:r>
      <w:r>
        <w:rPr>
          <w:rFonts w:ascii="Arial" w:cs="Arial" w:eastAsia="Arial" w:hAnsi="Arial"/>
          <w:color w:val="333333"/>
          <w:sz w:val="22"/>
          <w:szCs w:val="22"/>
        </w:rPr>
        <w:t xml:space="preserve">8–12 portfolio companies, ~4–5 participants per company, totaling 30–50 attendees plus Eurazeo staff, Yelin.io team, and technology partners.</w:t>
      </w:r>
    </w:p>
    <w:p>
      <w:pPr>
        <w:spacing w:after="160"/>
      </w:pPr>
      <w:r>
        <w:rPr>
          <w:rFonts w:ascii="Arial" w:cs="Arial" w:eastAsia="Arial" w:hAnsi="Arial"/>
          <w:b/>
          <w:bCs/>
          <w:color w:val="1B3A5C"/>
          <w:sz w:val="22"/>
          <w:szCs w:val="22"/>
        </w:rPr>
        <w:t xml:space="preserve">Timeline: </w:t>
      </w:r>
      <w:r>
        <w:rPr>
          <w:rFonts w:ascii="Arial" w:cs="Arial" w:eastAsia="Arial" w:hAnsi="Arial"/>
          <w:color w:val="333333"/>
          <w:sz w:val="22"/>
          <w:szCs w:val="22"/>
        </w:rPr>
        <w:t xml:space="preserve">~2 months from approval to event day. Preferred windows: May or October 2026, avoiding quarter-ends.</w:t>
      </w:r>
    </w:p>
    <w:p>
      <w:pPr>
        <w:spacing w:after="160"/>
      </w:pPr>
      <w:r>
        <w:rPr>
          <w:rFonts w:ascii="Arial" w:cs="Arial" w:eastAsia="Arial" w:hAnsi="Arial"/>
          <w:b/>
          <w:bCs/>
          <w:color w:val="1B3A5C"/>
          <w:sz w:val="22"/>
          <w:szCs w:val="22"/>
        </w:rPr>
        <w:t xml:space="preserve">Location: </w:t>
      </w:r>
      <w:r>
        <w:rPr>
          <w:rFonts w:ascii="Arial" w:cs="Arial" w:eastAsia="Arial" w:hAnsi="Arial"/>
          <w:color w:val="333333"/>
          <w:sz w:val="22"/>
          <w:szCs w:val="22"/>
        </w:rPr>
        <w:t xml:space="preserve">In-person (Paris region preferred). Remote participation not recommended.</w:t>
      </w:r>
    </w:p>
    <w:p>
      <w:r>
        <w:br w:type="page"/>
      </w:r>
    </w:p>
    <w:p>
      <w:pPr>
        <w:pStyle w:val="Heading1"/>
        <w:spacing w:before="360" w:after="120"/>
      </w:pPr>
      <w:r>
        <w:rPr>
          <w:rFonts w:ascii="Arial" w:cs="Arial" w:eastAsia="Arial" w:hAnsi="Arial"/>
          <w:b/>
          <w:bCs/>
          <w:color w:val="1B3A5C"/>
          <w:sz w:val="32"/>
          <w:szCs w:val="32"/>
        </w:rPr>
        <w:t xml:space="preserve">2. Recommended Focus: Product &amp; AI Capabilities</w:t>
      </w:r>
    </w:p>
    <w:p>
      <w:pPr>
        <w:spacing w:after="160"/>
      </w:pPr>
      <w:r>
        <w:rPr>
          <w:rFonts w:ascii="Arial" w:cs="Arial" w:eastAsia="Arial" w:hAnsi="Arial"/>
          <w:color w:val="333333"/>
          <w:sz w:val="22"/>
          <w:szCs w:val="22"/>
        </w:rPr>
        <w:t xml:space="preserve">Three focus areas were discussed during the initial meeting. We recommend Option 1 as the primary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Considerations</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 Option 1</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Build new AI products / capabilities</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Highest revenue impact; strongest LP story; answers “is SaaS dead?”; works for SaaS and services</w:t>
            </w:r>
          </w:p>
        </w:tc>
        <w:tc>
          <w:tcPr>
            <w:tcW w:type="dxa" w:w="2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Requires technical participants; more complex project proposals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tools in engineering / R&amp;D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Improves R&amp;D efficiency; familiar territory for dev teams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Skews toward SaaS companies only; less visible to LPs</w:t>
            </w:r>
          </w:p>
        </w:tc>
      </w:tr>
      <w:t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Option 3</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AI tools for go-to-market</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Broadest applicability; includes services companies</w:t>
            </w:r>
          </w:p>
        </w:tc>
        <w:tc>
          <w:tcPr>
            <w:tcW w:type="dxa" w:w="2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Lower “wow factor”; harder to demonstrate lasting impact</w:t>
            </w:r>
          </w:p>
        </w:tc>
      </w:tr>
    </w:tbl>
    <w:p>
      <w:pPr>
        <w:spacing w:before="200"/>
      </w:pPr>
    </w:p>
    <w:p>
      <w:pPr>
        <w:pStyle w:val="Heading2"/>
        <w:spacing w:before="240" w:after="120"/>
      </w:pPr>
      <w:r>
        <w:rPr>
          <w:rFonts w:ascii="Arial" w:cs="Arial" w:eastAsia="Arial" w:hAnsi="Arial"/>
          <w:b/>
          <w:bCs/>
          <w:color w:val="1B3A5C"/>
          <w:sz w:val="26"/>
          <w:szCs w:val="26"/>
        </w:rPr>
        <w:t xml:space="preserve">Why Product Focus?</w:t>
      </w:r>
    </w:p>
    <w:p>
      <w:pPr>
        <w:pStyle w:val="ListParagraph"/>
        <w:numPr>
          <w:ilvl w:val="0"/>
          <w:numId w:val="2"/>
        </w:numPr>
        <w:spacing w:after="80"/>
      </w:pPr>
      <w:r>
        <w:rPr>
          <w:rFonts w:ascii="Arial" w:cs="Arial" w:eastAsia="Arial" w:hAnsi="Arial"/>
          <w:color w:val="333333"/>
          <w:sz w:val="22"/>
          <w:szCs w:val="22"/>
        </w:rPr>
        <w:t xml:space="preserve">Greater “wow effect” within portfolio companies — teams ship something tangible in 24 hours</w:t>
      </w:r>
    </w:p>
    <w:p>
      <w:pPr>
        <w:pStyle w:val="ListParagraph"/>
        <w:numPr>
          <w:ilvl w:val="0"/>
          <w:numId w:val="2"/>
        </w:numPr>
        <w:spacing w:after="80"/>
      </w:pPr>
      <w:r>
        <w:rPr>
          <w:rFonts w:ascii="Arial" w:cs="Arial" w:eastAsia="Arial" w:hAnsi="Arial"/>
          <w:color w:val="333333"/>
          <w:sz w:val="22"/>
          <w:szCs w:val="22"/>
        </w:rPr>
        <w:t xml:space="preserve">Strongest fundraising and LP communication material — video demos of real products built in a day</w:t>
      </w:r>
    </w:p>
    <w:p>
      <w:pPr>
        <w:pStyle w:val="ListParagraph"/>
        <w:numPr>
          <w:ilvl w:val="0"/>
          <w:numId w:val="2"/>
        </w:numPr>
        <w:spacing w:after="80"/>
      </w:pPr>
      <w:r>
        <w:rPr>
          <w:rFonts w:ascii="Arial" w:cs="Arial" w:eastAsia="Arial" w:hAnsi="Arial"/>
          <w:color w:val="333333"/>
          <w:sz w:val="22"/>
          <w:szCs w:val="22"/>
        </w:rPr>
        <w:t xml:space="preserve">Directly answers LP concerns about whether SaaS remains viable in an AI-driven landscape</w:t>
      </w:r>
    </w:p>
    <w:p>
      <w:pPr>
        <w:pStyle w:val="ListParagraph"/>
        <w:numPr>
          <w:ilvl w:val="0"/>
          <w:numId w:val="2"/>
        </w:numPr>
        <w:spacing w:after="80"/>
      </w:pPr>
      <w:r>
        <w:rPr>
          <w:rFonts w:ascii="Arial" w:cs="Arial" w:eastAsia="Arial" w:hAnsi="Arial"/>
          <w:color w:val="333333"/>
          <w:sz w:val="22"/>
          <w:szCs w:val="22"/>
        </w:rPr>
        <w:t xml:space="preserve">Works across both SaaS and services portfolio companies when framed around customer-facing capabilities</w:t>
      </w:r>
    </w:p>
    <w:p>
      <w:pPr>
        <w:pStyle w:val="Heading2"/>
        <w:spacing w:before="240" w:after="120"/>
      </w:pPr>
      <w:r>
        <w:rPr>
          <w:rFonts w:ascii="Arial" w:cs="Arial" w:eastAsia="Arial" w:hAnsi="Arial"/>
          <w:b/>
          <w:bCs/>
          <w:color w:val="1B3A5C"/>
          <w:sz w:val="26"/>
          <w:szCs w:val="26"/>
        </w:rPr>
        <w:t xml:space="preserve">Can Engineering &amp; GTM Still Participate?</w:t>
      </w:r>
    </w:p>
    <w:p>
      <w:pPr>
        <w:spacing w:after="160"/>
      </w:pPr>
      <w:r>
        <w:rPr>
          <w:rFonts w:ascii="Arial" w:cs="Arial" w:eastAsia="Arial" w:hAnsi="Arial"/>
          <w:color w:val="333333"/>
          <w:sz w:val="22"/>
          <w:szCs w:val="22"/>
        </w:rPr>
        <w:t xml:space="preserve">Yes, with careful framing. Rather than diluting the product focus with separate engineering or GTM tracks, we recommend that each company’s team include a cross-functional mix: product leads, engineers, and go-to-market stakeholders working together on a single product-oriented project. This breaks down organizational silos while keeping the output product-focused.</w:t>
      </w:r>
    </w:p>
    <w:p>
      <w:pPr>
        <w:pStyle w:val="Heading2"/>
        <w:spacing w:before="240" w:after="120"/>
      </w:pPr>
      <w:r>
        <w:rPr>
          <w:rFonts w:ascii="Arial" w:cs="Arial" w:eastAsia="Arial" w:hAnsi="Arial"/>
          <w:b/>
          <w:bCs/>
          <w:color w:val="1B3A5C"/>
          <w:sz w:val="26"/>
          <w:szCs w:val="26"/>
        </w:rPr>
        <w:t xml:space="preserve">Example Output</w:t>
      </w:r>
    </w:p>
    <w:p>
      <w:pPr>
        <w:spacing w:after="160"/>
      </w:pPr>
      <w:r>
        <w:rPr>
          <w:rFonts w:ascii="Arial" w:cs="Arial" w:eastAsia="Arial" w:hAnsi="Arial"/>
          <w:color w:val="333333"/>
          <w:sz w:val="22"/>
          <w:szCs w:val="22"/>
        </w:rPr>
        <w:t xml:space="preserve">In 24 hours, a company team could: identify a customer pain point addressable with AI, prototype a working feature using available APIs and tools, and deliver a live demo showing the capability in action — with a clear path to production deployment within 90 days.</w:t>
      </w:r>
    </w:p>
    <w:p>
      <w:r>
        <w:br w:type="page"/>
      </w:r>
    </w:p>
    <w:p>
      <w:pPr>
        <w:pStyle w:val="Heading1"/>
        <w:spacing w:before="360" w:after="120"/>
      </w:pPr>
      <w:r>
        <w:rPr>
          <w:rFonts w:ascii="Arial" w:cs="Arial" w:eastAsia="Arial" w:hAnsi="Arial"/>
          <w:b/>
          <w:bCs/>
          <w:color w:val="1B3A5C"/>
          <w:sz w:val="32"/>
          <w:szCs w:val="32"/>
        </w:rPr>
        <w:t xml:space="preserve">3. Event Format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Format</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24-hour intensive hackathon (overnight)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Tuesday or Wednesday preferred</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Teams</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 team per company, ~5 members each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Participants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 participants + Eurazeo staff &amp; partners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Location</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In-person, Paris region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 Window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weeks of pre-work after project approval</w:t>
            </w:r>
          </w:p>
        </w:tc>
      </w:tr>
    </w:tbl>
    <w:p>
      <w:pPr>
        <w:spacing w:before="200"/>
      </w:pPr>
    </w:p>
    <w:p>
      <w:pPr>
        <w:pStyle w:val="Heading2"/>
        <w:spacing w:before="240" w:after="120"/>
      </w:pPr>
      <w:r>
        <w:rPr>
          <w:rFonts w:ascii="Arial" w:cs="Arial" w:eastAsia="Arial" w:hAnsi="Arial"/>
          <w:b/>
          <w:bCs/>
          <w:color w:val="1B3A5C"/>
          <w:sz w:val="26"/>
          <w:szCs w:val="26"/>
        </w:rPr>
        <w:t xml:space="preserve">Team Composition (Per Company)</w:t>
      </w:r>
    </w:p>
    <w:p>
      <w:pPr>
        <w:spacing w:after="160"/>
      </w:pPr>
      <w:r>
        <w:rPr>
          <w:rFonts w:ascii="Arial" w:cs="Arial" w:eastAsia="Arial" w:hAnsi="Arial"/>
          <w:color w:val="333333"/>
          <w:sz w:val="22"/>
          <w:szCs w:val="22"/>
        </w:rPr>
        <w:t xml:space="preserve">Each team of ~5 should include a cross-functional mix to maximize impact and break down silos:</w:t>
      </w:r>
    </w:p>
    <w:p>
      <w:pPr>
        <w:pStyle w:val="ListParagraph"/>
        <w:numPr>
          <w:ilvl w:val="0"/>
          <w:numId w:val="2"/>
        </w:numPr>
        <w:spacing w:after="80"/>
      </w:pPr>
      <w:r>
        <w:rPr>
          <w:rFonts w:ascii="Arial" w:cs="Arial" w:eastAsia="Arial" w:hAnsi="Arial"/>
          <w:color w:val="333333"/>
          <w:sz w:val="22"/>
          <w:szCs w:val="22"/>
        </w:rPr>
        <w:t xml:space="preserve">1 Product Owner / Lead (drives project direction and demo)</w:t>
      </w:r>
    </w:p>
    <w:p>
      <w:pPr>
        <w:pStyle w:val="ListParagraph"/>
        <w:numPr>
          <w:ilvl w:val="0"/>
          <w:numId w:val="2"/>
        </w:numPr>
        <w:spacing w:after="80"/>
      </w:pPr>
      <w:r>
        <w:rPr>
          <w:rFonts w:ascii="Arial" w:cs="Arial" w:eastAsia="Arial" w:hAnsi="Arial"/>
          <w:color w:val="333333"/>
          <w:sz w:val="22"/>
          <w:szCs w:val="22"/>
        </w:rPr>
        <w:t xml:space="preserve">2–3 Engineers / Technical Contributors (build the prototype)</w:t>
      </w:r>
    </w:p>
    <w:p>
      <w:pPr>
        <w:pStyle w:val="ListParagraph"/>
        <w:numPr>
          <w:ilvl w:val="0"/>
          <w:numId w:val="2"/>
        </w:numPr>
        <w:spacing w:after="80"/>
      </w:pPr>
      <w:r>
        <w:rPr>
          <w:rFonts w:ascii="Arial" w:cs="Arial" w:eastAsia="Arial" w:hAnsi="Arial"/>
          <w:color w:val="333333"/>
          <w:sz w:val="22"/>
          <w:szCs w:val="22"/>
        </w:rPr>
        <w:t xml:space="preserve">1 GTM / Business Stakeholder (validates market need, shapes the story)</w:t>
      </w:r>
    </w:p>
    <w:p>
      <w:pPr>
        <w:pStyle w:val="ListParagraph"/>
        <w:numPr>
          <w:ilvl w:val="0"/>
          <w:numId w:val="2"/>
        </w:numPr>
        <w:spacing w:after="80"/>
      </w:pPr>
      <w:r>
        <w:rPr>
          <w:rFonts w:ascii="Arial" w:cs="Arial" w:eastAsia="Arial" w:hAnsi="Arial"/>
          <w:color w:val="333333"/>
          <w:sz w:val="22"/>
          <w:szCs w:val="22"/>
        </w:rPr>
        <w:t xml:space="preserve">Optional: 1 Data / AI Specialist if available</w:t>
      </w:r>
    </w:p>
    <w:p>
      <w:r>
        <w:br w:type="page"/>
      </w:r>
    </w:p>
    <w:p>
      <w:pPr>
        <w:pStyle w:val="Heading1"/>
        <w:spacing w:before="360" w:after="120"/>
      </w:pPr>
      <w:r>
        <w:rPr>
          <w:rFonts w:ascii="Arial" w:cs="Arial" w:eastAsia="Arial" w:hAnsi="Arial"/>
          <w:b/>
          <w:bCs/>
          <w:color w:val="1B3A5C"/>
          <w:sz w:val="32"/>
          <w:szCs w:val="32"/>
        </w:rPr>
        <w:t xml:space="preserve">4. Operational Model</w:t>
      </w:r>
    </w:p>
    <w:p>
      <w:pPr>
        <w:pStyle w:val="Heading2"/>
        <w:spacing w:before="240" w:after="120"/>
      </w:pPr>
      <w:r>
        <w:rPr>
          <w:rFonts w:ascii="Arial" w:cs="Arial" w:eastAsia="Arial" w:hAnsi="Arial"/>
          <w:b/>
          <w:bCs/>
          <w:color w:val="1B3A5C"/>
          <w:sz w:val="26"/>
          <w:szCs w:val="26"/>
        </w:rPr>
        <w:t xml:space="preserve">Application &amp; Approval</w:t>
      </w:r>
    </w:p>
    <w:p>
      <w:pPr>
        <w:pStyle w:val="ListParagraph"/>
        <w:numPr>
          <w:ilvl w:val="0"/>
          <w:numId w:val="3"/>
        </w:numPr>
        <w:spacing w:after="80"/>
      </w:pPr>
      <w:r>
        <w:rPr>
          <w:rFonts w:ascii="Arial" w:cs="Arial" w:eastAsia="Arial" w:hAnsi="Arial"/>
          <w:color w:val="333333"/>
          <w:sz w:val="22"/>
          <w:szCs w:val="22"/>
        </w:rPr>
        <w:t xml:space="preserve">Companies submit a project proposal form describing: the customer or internal pain point, expected ROI, AI tools/approach planned, and learning objectives</w:t>
      </w:r>
    </w:p>
    <w:p>
      <w:pPr>
        <w:pStyle w:val="ListParagraph"/>
        <w:numPr>
          <w:ilvl w:val="0"/>
          <w:numId w:val="3"/>
        </w:numPr>
        <w:spacing w:after="80"/>
      </w:pPr>
      <w:r>
        <w:rPr>
          <w:rFonts w:ascii="Arial" w:cs="Arial" w:eastAsia="Arial" w:hAnsi="Arial"/>
          <w:color w:val="333333"/>
          <w:sz w:val="22"/>
          <w:szCs w:val="22"/>
        </w:rPr>
        <w:t xml:space="preserve">CEO sign-off required on the proposal — ensures organizational commitment</w:t>
      </w:r>
    </w:p>
    <w:p>
      <w:pPr>
        <w:pStyle w:val="ListParagraph"/>
        <w:numPr>
          <w:ilvl w:val="0"/>
          <w:numId w:val="3"/>
        </w:numPr>
        <w:spacing w:after="80"/>
      </w:pPr>
      <w:r>
        <w:rPr>
          <w:rFonts w:ascii="Arial" w:cs="Arial" w:eastAsia="Arial" w:hAnsi="Arial"/>
          <w:color w:val="333333"/>
          <w:sz w:val="22"/>
          <w:szCs w:val="22"/>
        </w:rPr>
        <w:t xml:space="preserve">Yelin.io + Eurazeo review submissions for feasibility, ambition level, and alignment with hackathon goals</w:t>
      </w:r>
    </w:p>
    <w:p>
      <w:pPr>
        <w:pStyle w:val="ListParagraph"/>
        <w:numPr>
          <w:ilvl w:val="0"/>
          <w:numId w:val="3"/>
        </w:numPr>
        <w:spacing w:after="80"/>
      </w:pPr>
      <w:r>
        <w:rPr>
          <w:rFonts w:ascii="Arial" w:cs="Arial" w:eastAsia="Arial" w:hAnsi="Arial"/>
          <w:color w:val="333333"/>
          <w:sz w:val="22"/>
          <w:szCs w:val="22"/>
        </w:rPr>
        <w:t xml:space="preserve">Approved teams receive access to partner resources, prep materials, and a pre-event coaching session</w:t>
      </w:r>
    </w:p>
    <w:p>
      <w:pPr>
        <w:pStyle w:val="Heading2"/>
        <w:spacing w:before="240" w:after="120"/>
      </w:pPr>
      <w:r>
        <w:rPr>
          <w:rFonts w:ascii="Arial" w:cs="Arial" w:eastAsia="Arial" w:hAnsi="Arial"/>
          <w:b/>
          <w:bCs/>
          <w:color w:val="1B3A5C"/>
          <w:sz w:val="26"/>
          <w:szCs w:val="26"/>
        </w:rPr>
        <w:t xml:space="preserve">Pre-Event Preparation</w:t>
      </w:r>
    </w:p>
    <w:p>
      <w:pPr>
        <w:pStyle w:val="ListParagraph"/>
        <w:numPr>
          <w:ilvl w:val="0"/>
          <w:numId w:val="2"/>
        </w:numPr>
        <w:spacing w:after="80"/>
      </w:pPr>
      <w:r>
        <w:rPr>
          <w:rFonts w:ascii="Arial" w:cs="Arial" w:eastAsia="Arial" w:hAnsi="Arial"/>
          <w:color w:val="333333"/>
          <w:sz w:val="22"/>
          <w:szCs w:val="22"/>
        </w:rPr>
        <w:t xml:space="preserve">Teams complete a readiness checklist: development environment set up, API keys provisioned, data access confirmed</w:t>
      </w:r>
    </w:p>
    <w:p>
      <w:pPr>
        <w:pStyle w:val="ListParagraph"/>
        <w:numPr>
          <w:ilvl w:val="0"/>
          <w:numId w:val="2"/>
        </w:numPr>
        <w:spacing w:after="80"/>
      </w:pPr>
      <w:r>
        <w:rPr>
          <w:rFonts w:ascii="Arial" w:cs="Arial" w:eastAsia="Arial" w:hAnsi="Arial"/>
          <w:color w:val="333333"/>
          <w:sz w:val="22"/>
          <w:szCs w:val="22"/>
        </w:rPr>
        <w:t xml:space="preserve">Optional: teams can begin scoping and design work before the event to maximize the 24-hour build window</w:t>
      </w:r>
    </w:p>
    <w:p>
      <w:pPr>
        <w:pStyle w:val="ListParagraph"/>
        <w:numPr>
          <w:ilvl w:val="0"/>
          <w:numId w:val="2"/>
        </w:numPr>
        <w:spacing w:after="80"/>
      </w:pPr>
      <w:r>
        <w:rPr>
          <w:rFonts w:ascii="Arial" w:cs="Arial" w:eastAsia="Arial" w:hAnsi="Arial"/>
          <w:color w:val="333333"/>
          <w:sz w:val="22"/>
          <w:szCs w:val="22"/>
        </w:rPr>
        <w:t xml:space="preserve">Yelin.io provides a prep workshop covering AI tooling best practices and project scoping methodology</w:t>
      </w:r>
    </w:p>
    <w:p>
      <w:pPr>
        <w:pStyle w:val="Heading2"/>
        <w:spacing w:before="240" w:after="120"/>
      </w:pPr>
      <w:r>
        <w:rPr>
          <w:rFonts w:ascii="Arial" w:cs="Arial" w:eastAsia="Arial" w:hAnsi="Arial"/>
          <w:b/>
          <w:bCs/>
          <w:color w:val="1B3A5C"/>
          <w:sz w:val="26"/>
          <w:szCs w:val="26"/>
        </w:rPr>
        <w:t xml:space="preserve">During the Event</w:t>
      </w:r>
    </w:p>
    <w:p>
      <w:pPr>
        <w:pStyle w:val="ListParagraph"/>
        <w:numPr>
          <w:ilvl w:val="0"/>
          <w:numId w:val="2"/>
        </w:numPr>
        <w:spacing w:after="80"/>
      </w:pPr>
      <w:r>
        <w:rPr>
          <w:rFonts w:ascii="Arial" w:cs="Arial" w:eastAsia="Arial" w:hAnsi="Arial"/>
          <w:color w:val="333333"/>
          <w:sz w:val="22"/>
          <w:szCs w:val="22"/>
        </w:rPr>
        <w:t xml:space="preserve">Kickoff session: final project pitch (3 min per team), rules, judging criteria</w:t>
      </w:r>
    </w:p>
    <w:p>
      <w:pPr>
        <w:pStyle w:val="ListParagraph"/>
        <w:numPr>
          <w:ilvl w:val="0"/>
          <w:numId w:val="2"/>
        </w:numPr>
        <w:spacing w:after="80"/>
      </w:pPr>
      <w:r>
        <w:rPr>
          <w:rFonts w:ascii="Arial" w:cs="Arial" w:eastAsia="Arial" w:hAnsi="Arial"/>
          <w:color w:val="333333"/>
          <w:sz w:val="22"/>
          <w:szCs w:val="22"/>
        </w:rPr>
        <w:t xml:space="preserve">24-hour build sprint with floating technical mentors from partners (AWS, Azure, OpenAI, etc.)</w:t>
      </w:r>
    </w:p>
    <w:p>
      <w:pPr>
        <w:pStyle w:val="ListParagraph"/>
        <w:numPr>
          <w:ilvl w:val="0"/>
          <w:numId w:val="2"/>
        </w:numPr>
        <w:spacing w:after="80"/>
      </w:pPr>
      <w:r>
        <w:rPr>
          <w:rFonts w:ascii="Arial" w:cs="Arial" w:eastAsia="Arial" w:hAnsi="Arial"/>
          <w:color w:val="333333"/>
          <w:sz w:val="22"/>
          <w:szCs w:val="22"/>
        </w:rPr>
        <w:t xml:space="preserve">Mid-point check-in at ~12 hours for progress sharing and pivot support</w:t>
      </w:r>
    </w:p>
    <w:p>
      <w:pPr>
        <w:pStyle w:val="ListParagraph"/>
        <w:numPr>
          <w:ilvl w:val="0"/>
          <w:numId w:val="2"/>
        </w:numPr>
        <w:spacing w:after="80"/>
      </w:pPr>
      <w:r>
        <w:rPr>
          <w:rFonts w:ascii="Arial" w:cs="Arial" w:eastAsia="Arial" w:hAnsi="Arial"/>
          <w:color w:val="333333"/>
          <w:sz w:val="22"/>
          <w:szCs w:val="22"/>
        </w:rPr>
        <w:t xml:space="preserve">Final demos (5 min per team) + judging + awards ceremony</w:t>
      </w:r>
    </w:p>
    <w:p>
      <w:pPr>
        <w:pStyle w:val="Heading2"/>
        <w:spacing w:before="240" w:after="120"/>
      </w:pPr>
      <w:r>
        <w:rPr>
          <w:rFonts w:ascii="Arial" w:cs="Arial" w:eastAsia="Arial" w:hAnsi="Arial"/>
          <w:b/>
          <w:bCs/>
          <w:color w:val="1B3A5C"/>
          <w:sz w:val="26"/>
          <w:szCs w:val="26"/>
        </w:rPr>
        <w:t xml:space="preserve">Success Metrics</w:t>
      </w:r>
    </w:p>
    <w:p>
      <w:pPr>
        <w:spacing w:after="160"/>
      </w:pPr>
      <w:r>
        <w:rPr>
          <w:rFonts w:ascii="Arial" w:cs="Arial" w:eastAsia="Arial" w:hAnsi="Arial"/>
          <w:color w:val="333333"/>
          <w:sz w:val="22"/>
          <w:szCs w:val="22"/>
        </w:rPr>
        <w:t xml:space="preserve">Success is measured across three horizons: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Day-of</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Working demo delivered; team satisfaction score</w:t>
            </w:r>
          </w:p>
        </w:tc>
        <w:tc>
          <w:tcPr>
            <w:tcW w:type="dxa" w:w="3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Live demos + post-event survey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projects progressed to production or pilot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Follow-up survey + Yelin.io check-in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180 days</w:t>
            </w:r>
          </w:p>
        </w:tc>
        <w:tc>
          <w:tcPr>
            <w:tcW w:type="dxa" w:w="3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Portfolio AI maturity improvement; revenue/efficiency impact</w:t>
            </w:r>
          </w:p>
        </w:tc>
        <w:tc>
          <w:tcPr>
            <w:tcW w:type="dxa" w:w="3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Structured assessment vs. baseline</w:t>
            </w:r>
          </w:p>
        </w:tc>
      </w:tr>
    </w:tbl>
    <w:p>
      <w:pPr>
        <w:spacing w:before="120"/>
      </w:pPr>
    </w:p>
    <w:p>
      <w:pPr>
        <w:spacing w:after="160"/>
      </w:pPr>
      <w:r>
        <w:rPr>
          <w:rFonts w:ascii="Arial" w:cs="Arial" w:eastAsia="Arial" w:hAnsi="Arial"/>
          <w:color w:val="333333"/>
          <w:sz w:val="22"/>
          <w:szCs w:val="22"/>
        </w:rPr>
        <w:t xml:space="preserve">Baseline AI maturity assessment should be conducted before the event to enable meaningful before/after comparison.</w:t>
      </w:r>
    </w:p>
    <w:p>
      <w:r>
        <w:br w:type="page"/>
      </w:r>
    </w:p>
    <w:p>
      <w:pPr>
        <w:pStyle w:val="Heading1"/>
        <w:spacing w:before="360" w:after="120"/>
      </w:pPr>
      <w:r>
        <w:rPr>
          <w:rFonts w:ascii="Arial" w:cs="Arial" w:eastAsia="Arial" w:hAnsi="Arial"/>
          <w:b/>
          <w:bCs/>
          <w:color w:val="1B3A5C"/>
          <w:sz w:val="32"/>
          <w:szCs w:val="32"/>
        </w:rPr>
        <w:t xml:space="preserve">5. Budget Options</w:t>
      </w:r>
    </w:p>
    <w:p>
      <w:pPr>
        <w:spacing w:after="160"/>
      </w:pPr>
      <w:r>
        <w:rPr>
          <w:rFonts w:ascii="Arial" w:cs="Arial" w:eastAsia="Arial" w:hAnsi="Arial"/>
          <w:color w:val="333333"/>
          <w:sz w:val="22"/>
          <w:szCs w:val="22"/>
        </w:rPr>
        <w:t xml:space="preserve">Three tiers are presented below for 30–50 attendees. All estimates assume Paris-region venue. Travel and hotel costs vary significantly based on portfolio company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Gold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Silver</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Lean</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Venue (24h rental + AV)</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€10–15K</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€5–10K</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€3–5K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Catering (meals + overnight)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€7–12K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€2–4K</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Travel &amp; Hotels (subsidized)</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€15–25K</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€8–15K</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Participant-funded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Technology / Partner Setup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Partner-sponsored</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Video Production (LP content)</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€15–25K</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€8–12K</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Internal capture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Awards / Prizes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€1–2K</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Yelin.io Program Fees</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[TBD]</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Contingency (10%)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w:t>
            </w:r>
          </w:p>
        </w:tc>
      </w:tr>
      <w:tr>
        <w:tc>
          <w:tcPr>
            <w:tcW w:type="dxa" w:w="2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ESTIMATED TOTAL</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€55–95K</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€30–55K</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€10–20K</w:t>
            </w:r>
          </w:p>
        </w:tc>
      </w:tr>
    </w:tbl>
    <w:p>
      <w:pPr>
        <w:spacing w:before="200"/>
      </w:pPr>
    </w:p>
    <w:p>
      <w:pPr>
        <w:pStyle w:val="Heading2"/>
        <w:spacing w:before="240" w:after="120"/>
      </w:pPr>
      <w:r>
        <w:rPr>
          <w:rFonts w:ascii="Arial" w:cs="Arial" w:eastAsia="Arial" w:hAnsi="Arial"/>
          <w:b/>
          <w:bCs/>
          <w:color w:val="1B3A5C"/>
          <w:sz w:val="26"/>
          <w:szCs w:val="26"/>
        </w:rPr>
        <w:t xml:space="preserve">What’s Included vs. Partner-Provided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Yelin.io Delivers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Partners Provide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Eurazeo Provides</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Program design &amp; facilitation</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Free API credits &amp; software seats</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Venue selection &amp; booking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proposal review &amp; coaching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mentors on-site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company communications</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Pre-event prep workshops</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Swag &amp; branded materials</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Internal budget approval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Day-of event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practice sessions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LP/investor audience (optional)</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Post-event tracking &amp; reporting</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Post-event technical support</w:t>
            </w:r>
          </w:p>
        </w:tc>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Video production vendor (Gold tier)</w:t>
            </w:r>
          </w:p>
        </w:tc>
      </w:tr>
    </w:tbl>
    <w:p>
      <w:r>
        <w:br w:type="page"/>
      </w:r>
    </w:p>
    <w:p>
      <w:pPr>
        <w:pStyle w:val="Heading1"/>
        <w:spacing w:before="360" w:after="120"/>
      </w:pPr>
      <w:r>
        <w:rPr>
          <w:rFonts w:ascii="Arial" w:cs="Arial" w:eastAsia="Arial" w:hAnsi="Arial"/>
          <w:b/>
          <w:bCs/>
          <w:color w:val="1B3A5C"/>
          <w:sz w:val="32"/>
          <w:szCs w:val="32"/>
        </w:rPr>
        <w:t xml:space="preserve">6. Partner &amp; Resource Plan</w:t>
      </w:r>
    </w:p>
    <w:p>
      <w:pPr>
        <w:spacing w:after="160"/>
      </w:pPr>
      <w:r>
        <w:rPr>
          <w:rFonts w:ascii="Arial" w:cs="Arial" w:eastAsia="Arial" w:hAnsi="Arial"/>
          <w:color w:val="333333"/>
          <w:sz w:val="22"/>
          <w:szCs w:val="22"/>
        </w:rPr>
        <w:t xml:space="preserve">Technology partners are essential for providing coaching, tooling access, and credibility. Recommended partner engagement:</w:t>
      </w:r>
    </w:p>
    <w:p>
      <w:pPr>
        <w:pStyle w:val="ListParagraph"/>
        <w:numPr>
          <w:ilvl w:val="0"/>
          <w:numId w:val="2"/>
        </w:numPr>
        <w:spacing w:after="80"/>
      </w:pPr>
      <w:r>
        <w:rPr>
          <w:rFonts w:ascii="Arial" w:cs="Arial" w:eastAsia="Arial" w:hAnsi="Arial"/>
          <w:color w:val="333333"/>
          <w:sz w:val="22"/>
          <w:szCs w:val="22"/>
        </w:rPr>
        <w:t xml:space="preserve">AWS / Microsoft Azure / Google Cloud — Infrastructure credits, AI/ML service access, solution architects on-site</w:t>
      </w:r>
    </w:p>
    <w:p>
      <w:pPr>
        <w:pStyle w:val="ListParagraph"/>
        <w:numPr>
          <w:ilvl w:val="0"/>
          <w:numId w:val="2"/>
        </w:numPr>
        <w:spacing w:after="80"/>
      </w:pPr>
      <w:r>
        <w:rPr>
          <w:rFonts w:ascii="Arial" w:cs="Arial" w:eastAsia="Arial" w:hAnsi="Arial"/>
          <w:color w:val="333333"/>
          <w:sz w:val="22"/>
          <w:szCs w:val="22"/>
        </w:rPr>
        <w:t xml:space="preserve">OpenAI / Anthropic / other AI providers — API credits, prompt engineering guidance, model selection coaching</w:t>
      </w:r>
    </w:p>
    <w:p>
      <w:pPr>
        <w:pStyle w:val="ListParagraph"/>
        <w:numPr>
          <w:ilvl w:val="0"/>
          <w:numId w:val="2"/>
        </w:numPr>
        <w:spacing w:after="80"/>
      </w:pPr>
      <w:r>
        <w:rPr>
          <w:rFonts w:ascii="Arial" w:cs="Arial" w:eastAsia="Arial" w:hAnsi="Arial"/>
          <w:color w:val="333333"/>
          <w:sz w:val="22"/>
          <w:szCs w:val="22"/>
        </w:rPr>
        <w:t xml:space="preserve">Vertical tool vendors (e.g., Lemlist, Intercom, etc.) — Free seats for experimentation, product demos</w:t>
      </w:r>
    </w:p>
    <w:p>
      <w:pPr>
        <w:pStyle w:val="ListParagraph"/>
        <w:numPr>
          <w:ilvl w:val="0"/>
          <w:numId w:val="2"/>
        </w:numPr>
        <w:spacing w:after="80"/>
      </w:pPr>
      <w:r>
        <w:rPr>
          <w:rFonts w:ascii="Arial" w:cs="Arial" w:eastAsia="Arial" w:hAnsi="Arial"/>
          <w:color w:val="333333"/>
          <w:sz w:val="22"/>
          <w:szCs w:val="22"/>
        </w:rPr>
        <w:t xml:space="preserve">All partners typically provide these resources at no cost in exchange for portfolio exposure and case study opportunities</w:t>
      </w:r>
    </w:p>
    <w:p>
      <w:pPr>
        <w:spacing w:after="160"/>
      </w:pPr>
      <w:r>
        <w:rPr>
          <w:rFonts w:ascii="Arial" w:cs="Arial" w:eastAsia="Arial" w:hAnsi="Arial"/>
          <w:color w:val="333333"/>
          <w:sz w:val="22"/>
          <w:szCs w:val="22"/>
        </w:rPr>
        <w:t xml:space="preserve">Partner availability is on the critical path for timeline — engagement should begin immediately upon budget approval.</w:t>
      </w:r>
    </w:p>
    <w:p>
      <w:pPr>
        <w:pStyle w:val="Heading1"/>
        <w:spacing w:before="360" w:after="120"/>
      </w:pPr>
      <w:r>
        <w:rPr>
          <w:rFonts w:ascii="Arial" w:cs="Arial" w:eastAsia="Arial" w:hAnsi="Arial"/>
          <w:b/>
          <w:bCs/>
          <w:color w:val="1B3A5C"/>
          <w:sz w:val="32"/>
          <w:szCs w:val="32"/>
        </w:rPr>
        <w:t xml:space="preserve">7. LP Value Story &amp; Content Capture</w:t>
      </w:r>
    </w:p>
    <w:p>
      <w:pPr>
        <w:pStyle w:val="Heading2"/>
        <w:spacing w:before="240" w:after="120"/>
      </w:pPr>
      <w:r>
        <w:rPr>
          <w:rFonts w:ascii="Arial" w:cs="Arial" w:eastAsia="Arial" w:hAnsi="Arial"/>
          <w:b/>
          <w:bCs/>
          <w:color w:val="1B3A5C"/>
          <w:sz w:val="26"/>
          <w:szCs w:val="26"/>
        </w:rPr>
        <w:t xml:space="preserve">How This Supports Eurazeo’s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Eurazeo Goal</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the Hackathon Delivers</w:t>
            </w:r>
          </w:p>
        </w:tc>
      </w:tr>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Accelerate AI adoption</w:t>
            </w:r>
          </w:p>
        </w:tc>
        <w:tc>
          <w:tcPr>
            <w:tcW w:type="dxa" w:w="6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8–12 portfolio companies go from planning to building in one day; CEO-sponsored projects ensure organizational commitment; 90/180-day follow-up drives sustained momentum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Demonstrate platform value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high-energy event that only Eurazeo’s platform can convene; cross-portfolio networking creates lasting value; video content demonstrates LP return on platform investment</w:t>
            </w:r>
          </w:p>
        </w:tc>
      </w:tr>
    </w:tbl>
    <w:p>
      <w:pPr>
        <w:spacing w:before="200"/>
      </w:pPr>
    </w:p>
    <w:p>
      <w:pPr>
        <w:pStyle w:val="Heading2"/>
        <w:spacing w:before="240" w:after="120"/>
      </w:pPr>
      <w:r>
        <w:rPr>
          <w:rFonts w:ascii="Arial" w:cs="Arial" w:eastAsia="Arial" w:hAnsi="Arial"/>
          <w:b/>
          <w:bCs/>
          <w:color w:val="1B3A5C"/>
          <w:sz w:val="26"/>
          <w:szCs w:val="26"/>
        </w:rPr>
        <w:t xml:space="preserve">Content Capture Plan</w:t>
      </w:r>
    </w:p>
    <w:p>
      <w:pPr>
        <w:spacing w:after="160"/>
      </w:pPr>
      <w:r>
        <w:rPr>
          <w:rFonts w:ascii="Arial" w:cs="Arial" w:eastAsia="Arial" w:hAnsi="Arial"/>
          <w:color w:val="333333"/>
          <w:sz w:val="22"/>
          <w:szCs w:val="22"/>
        </w:rPr>
        <w:t xml:space="preserve">To maximize the LP communication value, we recommend professional content capture:</w:t>
      </w:r>
    </w:p>
    <w:p>
      <w:pPr>
        <w:pStyle w:val="ListParagraph"/>
        <w:numPr>
          <w:ilvl w:val="0"/>
          <w:numId w:val="2"/>
        </w:numPr>
        <w:spacing w:after="80"/>
      </w:pPr>
      <w:r>
        <w:rPr>
          <w:rFonts w:ascii="Arial" w:cs="Arial" w:eastAsia="Arial" w:hAnsi="Arial"/>
          <w:color w:val="333333"/>
          <w:sz w:val="22"/>
          <w:szCs w:val="22"/>
        </w:rPr>
        <w:t xml:space="preserve">Event highlight reel (2–3 min) for LP presentations and investor communications</w:t>
      </w:r>
    </w:p>
    <w:p>
      <w:pPr>
        <w:pStyle w:val="ListParagraph"/>
        <w:numPr>
          <w:ilvl w:val="0"/>
          <w:numId w:val="2"/>
        </w:numPr>
        <w:spacing w:after="80"/>
      </w:pPr>
      <w:r>
        <w:rPr>
          <w:rFonts w:ascii="Arial" w:cs="Arial" w:eastAsia="Arial" w:hAnsi="Arial"/>
          <w:color w:val="333333"/>
          <w:sz w:val="22"/>
          <w:szCs w:val="22"/>
        </w:rPr>
        <w:t xml:space="preserve">Individual team case studies (written + video) showcasing project outcomes</w:t>
      </w:r>
    </w:p>
    <w:p>
      <w:pPr>
        <w:pStyle w:val="ListParagraph"/>
        <w:numPr>
          <w:ilvl w:val="0"/>
          <w:numId w:val="2"/>
        </w:numPr>
        <w:spacing w:after="80"/>
      </w:pPr>
      <w:r>
        <w:rPr>
          <w:rFonts w:ascii="Arial" w:cs="Arial" w:eastAsia="Arial" w:hAnsi="Arial"/>
          <w:color w:val="333333"/>
          <w:sz w:val="22"/>
          <w:szCs w:val="22"/>
        </w:rPr>
        <w:t xml:space="preserve">Before/after portfolio AI maturity data for annual reporting</w:t>
      </w:r>
    </w:p>
    <w:p>
      <w:pPr>
        <w:pStyle w:val="ListParagraph"/>
        <w:numPr>
          <w:ilvl w:val="0"/>
          <w:numId w:val="2"/>
        </w:numPr>
        <w:spacing w:after="80"/>
      </w:pPr>
      <w:r>
        <w:rPr>
          <w:rFonts w:ascii="Arial" w:cs="Arial" w:eastAsia="Arial" w:hAnsi="Arial"/>
          <w:color w:val="333333"/>
          <w:sz w:val="22"/>
          <w:szCs w:val="22"/>
        </w:rPr>
        <w:t xml:space="preserve">Participant testimonials from CEOs and team leads</w:t>
      </w:r>
    </w:p>
    <w:p>
      <w:pPr>
        <w:spacing w:after="160"/>
      </w:pPr>
      <w:r>
        <w:rPr>
          <w:rFonts w:ascii="Arial" w:cs="Arial" w:eastAsia="Arial" w:hAnsi="Arial"/>
          <w:color w:val="333333"/>
          <w:sz w:val="22"/>
          <w:szCs w:val="22"/>
        </w:rPr>
        <w:t xml:space="preserve">Note: Professional video production likely requires a third-party vendor. This is included in the Gold budget tier; Silver includes a lighter capture approach; Lean relies on internal content only.</w:t>
      </w:r>
    </w:p>
    <w:p>
      <w:r>
        <w:br w:type="page"/>
      </w:r>
    </w:p>
    <w:p>
      <w:pPr>
        <w:pStyle w:val="Heading1"/>
        <w:spacing w:before="360" w:after="120"/>
      </w:pPr>
      <w:r>
        <w:rPr>
          <w:rFonts w:ascii="Arial" w:cs="Arial" w:eastAsia="Arial" w:hAnsi="Arial"/>
          <w:b/>
          <w:bCs/>
          <w:color w:val="1B3A5C"/>
          <w:sz w:val="32"/>
          <w:szCs w:val="32"/>
        </w:rPr>
        <w:t xml:space="preserve">8. Timeline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Week 0</w:t>
            </w:r>
          </w:p>
        </w:tc>
        <w:tc>
          <w:tcPr>
            <w:tcW w:type="dxa" w:w="4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Budget approval &amp; focus confirmation</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Eurazeo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 outreach &amp; venue shortlist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Yelin.io + Eurazeo</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Week 3–4</w:t>
            </w:r>
          </w:p>
        </w:tc>
        <w:tc>
          <w:tcPr>
            <w:tcW w:type="dxa" w:w="4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Project proposal form distributed to portfolio</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Eurazeo (comms) + Yelin.io (form design)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 review, team coaching, prep workshops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Yelin.io</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Week 6–7</w:t>
            </w:r>
          </w:p>
        </w:tc>
        <w:tc>
          <w:tcPr>
            <w:tcW w:type="dxa" w:w="4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Venue confirmed, logistics finalized, partner commitments locked</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Eurazeo + Yelin.io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day (24-hour hackathon)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Yelin.io (facilitation) + Partners</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Week 8+1</w:t>
            </w:r>
          </w:p>
        </w:tc>
        <w:tc>
          <w:tcPr>
            <w:tcW w:type="dxa" w:w="4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Post-event survey, initial results compiled</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Yelin.io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90-day follow-up assessment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Yelin.io</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Week 34</w:t>
            </w:r>
          </w:p>
        </w:tc>
        <w:tc>
          <w:tcPr>
            <w:tcW w:type="dxa" w:w="48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180-day impact report</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sz w:val="20"/>
                <w:szCs w:val="20"/>
              </w:rPr>
              <w:t xml:space="preserve">Yelin.io</w:t>
            </w:r>
          </w:p>
        </w:tc>
      </w:tr>
    </w:tbl>
    <w:p>
      <w:pPr>
        <w:spacing w:before="300"/>
      </w:pPr>
    </w:p>
    <w:p>
      <w:pPr>
        <w:pStyle w:val="Heading2"/>
        <w:spacing w:before="240" w:after="120"/>
      </w:pPr>
      <w:r>
        <w:rPr>
          <w:rFonts w:ascii="Arial" w:cs="Arial" w:eastAsia="Arial" w:hAnsi="Arial"/>
          <w:b/>
          <w:bCs/>
          <w:color w:val="1B3A5C"/>
          <w:sz w:val="26"/>
          <w:szCs w:val="26"/>
        </w:rPr>
        <w:t xml:space="preserve">Immediate Next Steps</w:t>
      </w:r>
    </w:p>
    <w:p>
      <w:pPr>
        <w:pStyle w:val="ListParagraph"/>
        <w:numPr>
          <w:ilvl w:val="0"/>
          <w:numId w:val="3"/>
        </w:numPr>
        <w:spacing w:after="80"/>
      </w:pPr>
      <w:r>
        <w:rPr>
          <w:rFonts w:ascii="Arial" w:cs="Arial" w:eastAsia="Arial" w:hAnsi="Arial"/>
          <w:color w:val="333333"/>
          <w:sz w:val="22"/>
          <w:szCs w:val="22"/>
        </w:rPr>
        <w:t xml:space="preserve">Align on budget tier (Gold / Silver / Lean)</w:t>
      </w:r>
    </w:p>
    <w:p>
      <w:pPr>
        <w:pStyle w:val="ListParagraph"/>
        <w:numPr>
          <w:ilvl w:val="0"/>
          <w:numId w:val="3"/>
        </w:numPr>
        <w:spacing w:after="80"/>
      </w:pPr>
      <w:r>
        <w:rPr>
          <w:rFonts w:ascii="Arial" w:cs="Arial" w:eastAsia="Arial" w:hAnsi="Arial"/>
          <w:color w:val="333333"/>
          <w:sz w:val="22"/>
          <w:szCs w:val="22"/>
        </w:rPr>
        <w:t xml:space="preserve">Confirm Yelin.io scope of engagement and fee structure</w:t>
      </w:r>
    </w:p>
    <w:p>
      <w:pPr>
        <w:pStyle w:val="ListParagraph"/>
        <w:numPr>
          <w:ilvl w:val="0"/>
          <w:numId w:val="3"/>
        </w:numPr>
        <w:spacing w:after="80"/>
      </w:pPr>
      <w:r>
        <w:rPr>
          <w:rFonts w:ascii="Arial" w:cs="Arial" w:eastAsia="Arial" w:hAnsi="Arial"/>
          <w:color w:val="333333"/>
          <w:sz w:val="22"/>
          <w:szCs w:val="22"/>
        </w:rPr>
        <w:t xml:space="preserve">Begin partner outreach (critical path for timeline)</w:t>
      </w:r>
    </w:p>
    <w:p>
      <w:pPr>
        <w:pStyle w:val="ListParagraph"/>
        <w:numPr>
          <w:ilvl w:val="0"/>
          <w:numId w:val="3"/>
        </w:numPr>
        <w:spacing w:after="80"/>
      </w:pPr>
      <w:r>
        <w:rPr>
          <w:rFonts w:ascii="Arial" w:cs="Arial" w:eastAsia="Arial" w:hAnsi="Arial"/>
          <w:color w:val="333333"/>
          <w:sz w:val="22"/>
          <w:szCs w:val="22"/>
        </w:rPr>
        <w:t xml:space="preserve">Set target event date (May or October 2026)</w:t>
      </w:r>
    </w:p>
    <w:p>
      <w:pPr>
        <w:spacing w:before="600"/>
      </w:pPr>
    </w:p>
    <w:p>
      <w:pPr>
        <w:pBdr>
          <w:top w:val="single" w:color="2E75B6" w:sz="2" w:space="8"/>
        </w:pBdr>
        <w:spacing w:before="200"/>
        <w:jc w:val="center"/>
      </w:pPr>
      <w:r>
        <w:rPr>
          <w:rFonts w:ascii="Arial" w:cs="Arial" w:eastAsia="Arial" w:hAnsi="Arial"/>
          <w:color w:val="666666"/>
          <w:sz w:val="18"/>
          <w:szCs w:val="18"/>
        </w:rPr>
        <w:t xml:space="preserve">Yelin.io  |  henry@yelin.io  |  russell@yelin.io  |  michael@yelin.io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Yelin.io</w:t>
    </w:r>
    <w:r>
      <w:rPr>
        <w:rFonts w:ascii="Arial" w:cs="Arial" w:eastAsia="Arial" w:hAnsi="Arial"/>
        <w:color w:val="666666"/>
        <w:sz w:val="16"/>
        <w:szCs w:val="16"/>
      </w:rPr>
      <w:t xml:space="preserv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2026-02-23T18:12:30.953Z</dcterms:created>
  <dcterms:modified xsi:type="dcterms:W3CDTF">2026-02-23T18:12:30.953Z</dcterms:modified>
</cp:coreProperties>
</file>

<file path=docProps/custom.xml><?xml version="1.0" encoding="utf-8"?>
<Properties xmlns="http://schemas.openxmlformats.org/officeDocument/2006/custom-properties" xmlns:vt="http://schemas.openxmlformats.org/officeDocument/2006/docPropsVTypes"/>
</file>