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yelin.io</w:t>
      </w:r>
    </w:p>
    <w:p/>
    <w:p>
      <w:pPr>
        <w:jc w:val="center"/>
      </w:pPr>
      <w:r>
        <w:rPr>
          <w:color w:val="1B3A5C"/>
          <w:sz w:val="48"/>
        </w:rPr>
        <w:t>AI Engineering Efficiency Program</w:t>
      </w:r>
    </w:p>
    <w:p>
      <w:pPr>
        <w:jc w:val="center"/>
      </w:pPr>
      <w:r>
        <w:rPr>
          <w:color w:val="444444"/>
          <w:sz w:val="36"/>
        </w:rPr>
        <w:t>Statement of Work (SoW)</w:t>
      </w:r>
    </w:p>
    <w:p/>
    <w:p>
      <w:pPr>
        <w:jc w:val="center"/>
      </w:pPr>
      <w:r>
        <w:rPr>
          <w:sz w:val="28"/>
        </w:rPr>
        <w:t>Prepared for: TBI Bank</w:t>
      </w:r>
    </w:p>
    <w:p>
      <w:pPr>
        <w:jc w:val="center"/>
      </w:pPr>
      <w:r>
        <w:rPr>
          <w:color w:val="666666"/>
          <w:sz w:val="22"/>
        </w:rPr>
        <w:t>v1.0  |  March 2026</w:t>
      </w:r>
    </w:p>
    <w:p/>
    <w:p/>
    <w:p/>
    <w:p/>
    <w:p>
      <w:pPr>
        <w:jc w:val="center"/>
      </w:pPr>
      <w:r>
        <w:rPr>
          <w:b/>
          <w:color w:val="666666"/>
          <w:sz w:val="14"/>
        </w:rPr>
        <w:t xml:space="preserve">Confidentiality Statement: </w:t>
      </w:r>
      <w:r>
        <w:rPr>
          <w:color w:val="666666"/>
          <w:sz w:val="14"/>
        </w:rPr>
        <w:t>The information disclosed herein is confidential. The recipient agrees not to distribute this information unless required by law or permitted by a mutual confidentiality agreement.</w:t>
      </w:r>
    </w:p>
    <w:p>
      <w:r>
        <w:br w:type="page"/>
      </w:r>
    </w:p>
    <w:p>
      <w:pPr>
        <w:pStyle w:val="Heading1"/>
      </w:pPr>
      <w:r>
        <w:rPr>
          <w:color w:val="1B3A5C"/>
        </w:rPr>
        <w:t>1. Engagement Overview</w:t>
      </w:r>
    </w:p>
    <w:p>
      <w:r>
        <w:rPr>
          <w:sz w:val="20"/>
        </w:rPr>
        <w:t>Yelin.io will deliver a fixed-fee, milestone-based AI Engineering Efficiency Program for TBI Bank over 90 days (12 weeks). The engagement is structured around two core workstreams: (1) Measurement &amp; Visibility, and (2) Workflow &amp; Vendor Accountability, building the infrastructure and frameworks that enable TBI Bank to credibly pursue its 10-15% annualised developer efficiency target across approximately 200 developers.</w:t>
      </w:r>
    </w:p>
    <w:p>
      <w:r>
        <w:rPr>
          <w:sz w:val="20"/>
        </w:rPr>
        <w:t>This SoW formalizes the scope outlined in the TBI Bank - AI Engineering Efficiency Program Proposal (v6.0) dated February 2026. Our approach combines senior practitioner expertise with a data-driven methodology -- establishing baselines, defining KPIs, and measuring impact so that TBI Bank can report progress to Advent with data, not assertions.</w:t>
      </w:r>
    </w:p>
    <w:p>
      <w:r>
        <w:rPr>
          <w:sz w:val="20"/>
        </w:rPr>
        <w:t>Engagement Type: Implementation (Fixed-Fee, Milestone-Based)</w:t>
      </w:r>
    </w:p>
    <w:p>
      <w:pPr>
        <w:pStyle w:val="Heading1"/>
      </w:pPr>
      <w:r>
        <w:rPr>
          <w:color w:val="1B3A5C"/>
        </w:rPr>
        <w:t>2. About TBI Bank</w:t>
      </w:r>
    </w:p>
    <w:p>
      <w:r>
        <w:rPr>
          <w:sz w:val="20"/>
        </w:rPr>
        <w:t>TBI Bank is a financial institution with approximately 200 software developers across in-house and outsourced teams. Under an Advent International efficiency mandate, TBI Bank has set a 2026 goal of 10-15% annualised developer efficiency gains. GitHub Copilot has been deployed with encouraging adoption signals -- 91% of generated code uses agent mode, indicating power users are leveraging the highest-value capability. However, senior leadership cannot yet see, measure, or credibly report the impact of its AI investment. This engagement addresses that measurement and visibility gap.</w:t>
      </w:r>
    </w:p>
    <w:p>
      <w:pPr>
        <w:pStyle w:val="Heading1"/>
      </w:pPr>
      <w:r>
        <w:rPr>
          <w:color w:val="1B3A5C"/>
        </w:rPr>
        <w:t>3. Business Objectives</w:t>
      </w:r>
    </w:p>
    <w:p>
      <w:r>
        <w:rPr>
          <w:sz w:val="20"/>
        </w:rPr>
        <w:t>The primary business objectives of this engagement are:</w:t>
      </w:r>
    </w:p>
    <w:p>
      <w:pPr>
        <w:pStyle w:val="ListBullet"/>
      </w:pPr>
      <w:r>
        <w:rPr>
          <w:sz w:val="20"/>
        </w:rPr>
        <w:t>Build measurement infrastructure that provides a single source of truth for AI adoption and productivity</w:t>
      </w:r>
    </w:p>
    <w:p>
      <w:pPr>
        <w:pStyle w:val="ListBullet"/>
      </w:pPr>
      <w:r>
        <w:rPr>
          <w:sz w:val="20"/>
        </w:rPr>
        <w:t>Establish baseline measurements and a unified KPI framework to quantify efficiency gains</w:t>
      </w:r>
    </w:p>
    <w:p>
      <w:pPr>
        <w:pStyle w:val="ListBullet"/>
      </w:pPr>
      <w:r>
        <w:rPr>
          <w:sz w:val="20"/>
        </w:rPr>
        <w:t>Equip leadership with executive dashboards and team-level scorecards for data-driven decision-making</w:t>
      </w:r>
    </w:p>
    <w:p>
      <w:pPr>
        <w:pStyle w:val="ListBullet"/>
      </w:pPr>
      <w:r>
        <w:rPr>
          <w:sz w:val="20"/>
        </w:rPr>
        <w:t>Embed AI acceleration into the SDLC with quality gates for AI-generated code</w:t>
      </w:r>
    </w:p>
    <w:p>
      <w:pPr>
        <w:pStyle w:val="ListBullet"/>
      </w:pPr>
      <w:r>
        <w:rPr>
          <w:sz w:val="20"/>
        </w:rPr>
        <w:t>Create vendor performance frameworks extending accountability to outsourced partners (~40% of developers)</w:t>
      </w:r>
    </w:p>
    <w:p>
      <w:r>
        <w:rPr>
          <w:sz w:val="20"/>
        </w:rPr>
        <w:t>Success Criteria (90-Day Targets):</w:t>
      </w:r>
    </w:p>
    <w:p>
      <w:pPr>
        <w:pStyle w:val="ListBullet"/>
      </w:pPr>
      <w:r>
        <w:rPr>
          <w:sz w:val="20"/>
        </w:rPr>
        <w:t>Daily active AI users: increase from ~50% to 75% or higher</w:t>
      </w:r>
    </w:p>
    <w:p>
      <w:pPr>
        <w:pStyle w:val="ListBullet"/>
      </w:pPr>
      <w:r>
        <w:rPr>
          <w:sz w:val="20"/>
        </w:rPr>
        <w:t>Power users (agent mode): increase from ~20% to 40% or higher</w:t>
      </w:r>
    </w:p>
    <w:p>
      <w:pPr>
        <w:pStyle w:val="ListBullet"/>
      </w:pPr>
      <w:r>
        <w:rPr>
          <w:sz w:val="20"/>
        </w:rPr>
        <w:t>Code acceptance rate: 10% improvement</w:t>
      </w:r>
    </w:p>
    <w:p>
      <w:pPr>
        <w:pStyle w:val="ListBullet"/>
      </w:pPr>
      <w:r>
        <w:rPr>
          <w:sz w:val="20"/>
        </w:rPr>
        <w:t>PR cycle time: 5-10% reduction</w:t>
      </w:r>
    </w:p>
    <w:p>
      <w:pPr>
        <w:pStyle w:val="ListBullet"/>
      </w:pPr>
      <w:r>
        <w:rPr>
          <w:sz w:val="20"/>
        </w:rPr>
        <w:t>Post-release defects: 5-10% reduction</w:t>
      </w:r>
    </w:p>
    <w:p>
      <w:pPr>
        <w:pStyle w:val="ListBullet"/>
      </w:pPr>
      <w:r>
        <w:rPr>
          <w:sz w:val="20"/>
        </w:rPr>
        <w:t>Team maturity: all teams at 3 of 5 or higher on maturity scale</w:t>
      </w:r>
    </w:p>
    <w:p>
      <w:pPr>
        <w:pStyle w:val="Heading1"/>
      </w:pPr>
      <w:r>
        <w:rPr>
          <w:color w:val="1B3A5C"/>
        </w:rPr>
        <w:t>4. Scope of Work</w:t>
      </w:r>
    </w:p>
    <w:p>
      <w:r>
        <w:rPr>
          <w:sz w:val="20"/>
        </w:rPr>
        <w:t>Yelin.io services will include the following:</w:t>
      </w:r>
    </w:p>
    <w:p>
      <w:pPr>
        <w:pStyle w:val="Heading2"/>
      </w:pPr>
      <w:r>
        <w:t>Workstream 1: Measurement &amp; Visibility</w:t>
      </w:r>
    </w:p>
    <w:p>
      <w:r>
        <w:rPr>
          <w:sz w:val="20"/>
        </w:rPr>
        <w:t>Primary focus -- building the data infrastructure leadership needs.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w:t>
            </w:r>
          </w:p>
        </w:tc>
        <w:tc>
          <w:tcPr>
            <w:tcW w:type="dxa" w:w="2160"/>
            <w:shd w:val="clear" w:color="auto" w:fill="1B3A5C"/>
          </w:tcPr>
          <w:p>
            <w:r>
              <w:rPr>
                <w:b/>
                <w:color w:val="FFFFFF"/>
                <w:sz w:val="20"/>
              </w:rPr>
              <w:t>Deliverable</w:t>
            </w:r>
          </w:p>
        </w:tc>
        <w:tc>
          <w:tcPr>
            <w:tcW w:type="dxa" w:w="2160"/>
            <w:shd w:val="clear" w:color="auto" w:fill="1B3A5C"/>
          </w:tcPr>
          <w:p>
            <w:r>
              <w:rPr>
                <w:b/>
                <w:color w:val="FFFFFF"/>
                <w:sz w:val="20"/>
              </w:rPr>
              <w:t>Description</w:t>
            </w:r>
          </w:p>
        </w:tc>
        <w:tc>
          <w:tcPr>
            <w:tcW w:type="dxa" w:w="2160"/>
            <w:shd w:val="clear" w:color="auto" w:fill="1B3A5C"/>
          </w:tcPr>
          <w:p>
            <w:r>
              <w:rPr>
                <w:b/>
                <w:color w:val="FFFFFF"/>
                <w:sz w:val="20"/>
              </w:rPr>
              <w:t>Timing</w:t>
            </w:r>
          </w:p>
        </w:tc>
      </w:tr>
      <w:tr>
        <w:tc>
          <w:tcPr>
            <w:tcW w:type="dxa" w:w="2160"/>
          </w:tcPr>
          <w:p>
            <w:r>
              <w:rPr>
                <w:sz w:val="20"/>
              </w:rPr>
              <w:t>1.1</w:t>
            </w:r>
          </w:p>
        </w:tc>
        <w:tc>
          <w:tcPr>
            <w:tcW w:type="dxa" w:w="2160"/>
          </w:tcPr>
          <w:p>
            <w:r>
              <w:rPr>
                <w:sz w:val="20"/>
              </w:rPr>
              <w:t>Data Landscape Audit</w:t>
            </w:r>
          </w:p>
        </w:tc>
        <w:tc>
          <w:tcPr>
            <w:tcW w:type="dxa" w:w="2160"/>
          </w:tcPr>
          <w:p>
            <w:r>
              <w:rPr>
                <w:sz w:val="20"/>
              </w:rPr>
              <w:t>Inventory, quality assessment, and gap analysis of existing data sources (Jira, Copilot telemetry, PR data)</w:t>
            </w:r>
          </w:p>
        </w:tc>
        <w:tc>
          <w:tcPr>
            <w:tcW w:type="dxa" w:w="2160"/>
          </w:tcPr>
          <w:p>
            <w:r>
              <w:rPr>
                <w:sz w:val="20"/>
              </w:rPr>
              <w:t>Weeks 1-3</w:t>
            </w:r>
          </w:p>
        </w:tc>
      </w:tr>
      <w:tr>
        <w:tc>
          <w:tcPr>
            <w:tcW w:type="dxa" w:w="2160"/>
          </w:tcPr>
          <w:p>
            <w:r>
              <w:rPr>
                <w:sz w:val="20"/>
              </w:rPr>
              <w:t>1.2</w:t>
            </w:r>
          </w:p>
        </w:tc>
        <w:tc>
          <w:tcPr>
            <w:tcW w:type="dxa" w:w="2160"/>
          </w:tcPr>
          <w:p>
            <w:r>
              <w:rPr>
                <w:sz w:val="20"/>
              </w:rPr>
              <w:t>Unified KPI Framework</w:t>
            </w:r>
          </w:p>
        </w:tc>
        <w:tc>
          <w:tcPr>
            <w:tcW w:type="dxa" w:w="2160"/>
          </w:tcPr>
          <w:p>
            <w:r>
              <w:rPr>
                <w:sz w:val="20"/>
              </w:rPr>
              <w:t>Adoption, velocity, quality, and predictability indicators aligned with the 10-15% efficiency target</w:t>
            </w:r>
          </w:p>
        </w:tc>
        <w:tc>
          <w:tcPr>
            <w:tcW w:type="dxa" w:w="2160"/>
          </w:tcPr>
          <w:p>
            <w:r>
              <w:rPr>
                <w:sz w:val="20"/>
              </w:rPr>
              <w:t>Weeks 2-4</w:t>
            </w:r>
          </w:p>
        </w:tc>
      </w:tr>
      <w:tr>
        <w:tc>
          <w:tcPr>
            <w:tcW w:type="dxa" w:w="2160"/>
          </w:tcPr>
          <w:p>
            <w:r>
              <w:rPr>
                <w:sz w:val="20"/>
              </w:rPr>
              <w:t>1.3</w:t>
            </w:r>
          </w:p>
        </w:tc>
        <w:tc>
          <w:tcPr>
            <w:tcW w:type="dxa" w:w="2160"/>
          </w:tcPr>
          <w:p>
            <w:r>
              <w:rPr>
                <w:sz w:val="20"/>
              </w:rPr>
              <w:t>Baseline Measurement Report</w:t>
            </w:r>
          </w:p>
        </w:tc>
        <w:tc>
          <w:tcPr>
            <w:tcW w:type="dxa" w:w="2160"/>
          </w:tcPr>
          <w:p>
            <w:r>
              <w:rPr>
                <w:sz w:val="20"/>
              </w:rPr>
              <w:t>Pre-intervention snapshot against defined KPIs, establishing the starting point for improvement measurement</w:t>
            </w:r>
          </w:p>
        </w:tc>
        <w:tc>
          <w:tcPr>
            <w:tcW w:type="dxa" w:w="2160"/>
          </w:tcPr>
          <w:p>
            <w:r>
              <w:rPr>
                <w:sz w:val="20"/>
              </w:rPr>
              <w:t>Weeks 3-4</w:t>
            </w:r>
          </w:p>
        </w:tc>
      </w:tr>
      <w:tr>
        <w:tc>
          <w:tcPr>
            <w:tcW w:type="dxa" w:w="2160"/>
          </w:tcPr>
          <w:p>
            <w:r>
              <w:rPr>
                <w:sz w:val="20"/>
              </w:rPr>
              <w:t>1.4</w:t>
            </w:r>
          </w:p>
        </w:tc>
        <w:tc>
          <w:tcPr>
            <w:tcW w:type="dxa" w:w="2160"/>
          </w:tcPr>
          <w:p>
            <w:r>
              <w:rPr>
                <w:sz w:val="20"/>
              </w:rPr>
              <w:t>Executive Dashboard Specification</w:t>
            </w:r>
          </w:p>
        </w:tc>
        <w:tc>
          <w:tcPr>
            <w:tcW w:type="dxa" w:w="2160"/>
          </w:tcPr>
          <w:p>
            <w:r>
              <w:rPr>
                <w:sz w:val="20"/>
              </w:rPr>
              <w:t>Design and data requirements for TBI Bank to build internally (specification only -- implementation is TBI Bank responsibility)</w:t>
            </w:r>
          </w:p>
        </w:tc>
        <w:tc>
          <w:tcPr>
            <w:tcW w:type="dxa" w:w="2160"/>
          </w:tcPr>
          <w:p>
            <w:r>
              <w:rPr>
                <w:sz w:val="20"/>
              </w:rPr>
              <w:t>Weeks 4-8</w:t>
            </w:r>
          </w:p>
        </w:tc>
      </w:tr>
      <w:tr>
        <w:tc>
          <w:tcPr>
            <w:tcW w:type="dxa" w:w="2160"/>
          </w:tcPr>
          <w:p>
            <w:r>
              <w:rPr>
                <w:sz w:val="20"/>
              </w:rPr>
              <w:t>1.5</w:t>
            </w:r>
          </w:p>
        </w:tc>
        <w:tc>
          <w:tcPr>
            <w:tcW w:type="dxa" w:w="2160"/>
          </w:tcPr>
          <w:p>
            <w:r>
              <w:rPr>
                <w:sz w:val="20"/>
              </w:rPr>
              <w:t>Team-Level Scorecards</w:t>
            </w:r>
          </w:p>
        </w:tc>
        <w:tc>
          <w:tcPr>
            <w:tcW w:type="dxa" w:w="2160"/>
          </w:tcPr>
          <w:p>
            <w:r>
              <w:rPr>
                <w:sz w:val="20"/>
              </w:rPr>
              <w:t>Per-team adoption and maturity views enabling targeted action</w:t>
            </w:r>
          </w:p>
        </w:tc>
        <w:tc>
          <w:tcPr>
            <w:tcW w:type="dxa" w:w="2160"/>
          </w:tcPr>
          <w:p>
            <w:r>
              <w:rPr>
                <w:sz w:val="20"/>
              </w:rPr>
              <w:t>Weeks 6-8</w:t>
            </w:r>
          </w:p>
        </w:tc>
      </w:tr>
      <w:tr>
        <w:tc>
          <w:tcPr>
            <w:tcW w:type="dxa" w:w="2160"/>
          </w:tcPr>
          <w:p>
            <w:r>
              <w:rPr>
                <w:sz w:val="20"/>
              </w:rPr>
              <w:t>1.6</w:t>
            </w:r>
          </w:p>
        </w:tc>
        <w:tc>
          <w:tcPr>
            <w:tcW w:type="dxa" w:w="2160"/>
          </w:tcPr>
          <w:p>
            <w:r>
              <w:rPr>
                <w:sz w:val="20"/>
              </w:rPr>
              <w:t>Change Management Plan &amp; 90-Day Impact Assessment</w:t>
            </w:r>
          </w:p>
        </w:tc>
        <w:tc>
          <w:tcPr>
            <w:tcW w:type="dxa" w:w="2160"/>
          </w:tcPr>
          <w:p>
            <w:r>
              <w:rPr>
                <w:sz w:val="20"/>
              </w:rPr>
              <w:t>Outcomes vs baseline, course corrections, and next-phase recommendations</w:t>
            </w:r>
          </w:p>
        </w:tc>
        <w:tc>
          <w:tcPr>
            <w:tcW w:type="dxa" w:w="2160"/>
          </w:tcPr>
          <w:p>
            <w:r>
              <w:rPr>
                <w:sz w:val="20"/>
              </w:rPr>
              <w:t>Weeks 11-12</w:t>
            </w:r>
          </w:p>
        </w:tc>
      </w:tr>
    </w:tbl>
    <w:p/>
    <w:p>
      <w:pPr>
        <w:pStyle w:val="Heading2"/>
      </w:pPr>
      <w:r>
        <w:t>Workstream 2: Workflow &amp; Vendor Accountability</w:t>
      </w:r>
    </w:p>
    <w:p>
      <w:r>
        <w:rPr>
          <w:sz w:val="20"/>
        </w:rPr>
        <w:t>Supporting workstream -- embedding AI into delivery workflows.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w:t>
            </w:r>
          </w:p>
        </w:tc>
        <w:tc>
          <w:tcPr>
            <w:tcW w:type="dxa" w:w="2160"/>
            <w:shd w:val="clear" w:color="auto" w:fill="1B3A5C"/>
          </w:tcPr>
          <w:p>
            <w:r>
              <w:rPr>
                <w:b/>
                <w:color w:val="FFFFFF"/>
                <w:sz w:val="20"/>
              </w:rPr>
              <w:t>Deliverable</w:t>
            </w:r>
          </w:p>
        </w:tc>
        <w:tc>
          <w:tcPr>
            <w:tcW w:type="dxa" w:w="2160"/>
            <w:shd w:val="clear" w:color="auto" w:fill="1B3A5C"/>
          </w:tcPr>
          <w:p>
            <w:r>
              <w:rPr>
                <w:b/>
                <w:color w:val="FFFFFF"/>
                <w:sz w:val="20"/>
              </w:rPr>
              <w:t>Description</w:t>
            </w:r>
          </w:p>
        </w:tc>
        <w:tc>
          <w:tcPr>
            <w:tcW w:type="dxa" w:w="2160"/>
            <w:shd w:val="clear" w:color="auto" w:fill="1B3A5C"/>
          </w:tcPr>
          <w:p>
            <w:r>
              <w:rPr>
                <w:b/>
                <w:color w:val="FFFFFF"/>
                <w:sz w:val="20"/>
              </w:rPr>
              <w:t>Timing</w:t>
            </w:r>
          </w:p>
        </w:tc>
      </w:tr>
      <w:tr>
        <w:tc>
          <w:tcPr>
            <w:tcW w:type="dxa" w:w="2160"/>
          </w:tcPr>
          <w:p>
            <w:r>
              <w:rPr>
                <w:sz w:val="20"/>
              </w:rPr>
              <w:t>2.1</w:t>
            </w:r>
          </w:p>
        </w:tc>
        <w:tc>
          <w:tcPr>
            <w:tcW w:type="dxa" w:w="2160"/>
          </w:tcPr>
          <w:p>
            <w:r>
              <w:rPr>
                <w:sz w:val="20"/>
              </w:rPr>
              <w:t>AI Acceleration Overlay</w:t>
            </w:r>
          </w:p>
        </w:tc>
        <w:tc>
          <w:tcPr>
            <w:tcW w:type="dxa" w:w="2160"/>
          </w:tcPr>
          <w:p>
            <w:r>
              <w:rPr>
                <w:sz w:val="20"/>
              </w:rPr>
              <w:t>Mapping where AI tooling integrates into the existing SDLC to speed up delivery; identify single opportunity to implement change</w:t>
            </w:r>
          </w:p>
        </w:tc>
        <w:tc>
          <w:tcPr>
            <w:tcW w:type="dxa" w:w="2160"/>
          </w:tcPr>
          <w:p>
            <w:r>
              <w:rPr>
                <w:sz w:val="20"/>
              </w:rPr>
              <w:t>Weeks 3-6</w:t>
            </w:r>
          </w:p>
        </w:tc>
      </w:tr>
      <w:tr>
        <w:tc>
          <w:tcPr>
            <w:tcW w:type="dxa" w:w="2160"/>
          </w:tcPr>
          <w:p>
            <w:r>
              <w:rPr>
                <w:sz w:val="20"/>
              </w:rPr>
              <w:t>2.2</w:t>
            </w:r>
          </w:p>
        </w:tc>
        <w:tc>
          <w:tcPr>
            <w:tcW w:type="dxa" w:w="2160"/>
          </w:tcPr>
          <w:p>
            <w:r>
              <w:rPr>
                <w:sz w:val="20"/>
              </w:rPr>
              <w:t>AI Quality Gates Specification</w:t>
            </w:r>
          </w:p>
        </w:tc>
        <w:tc>
          <w:tcPr>
            <w:tcW w:type="dxa" w:w="2160"/>
          </w:tcPr>
          <w:p>
            <w:r>
              <w:rPr>
                <w:sz w:val="20"/>
              </w:rPr>
              <w:t>Standards for reviewing and accepting AI-generated code, including SQL-specific guidance for legacy systems</w:t>
            </w:r>
          </w:p>
        </w:tc>
        <w:tc>
          <w:tcPr>
            <w:tcW w:type="dxa" w:w="2160"/>
          </w:tcPr>
          <w:p>
            <w:r>
              <w:rPr>
                <w:sz w:val="20"/>
              </w:rPr>
              <w:t>Weeks 4-7</w:t>
            </w:r>
          </w:p>
        </w:tc>
      </w:tr>
      <w:tr>
        <w:tc>
          <w:tcPr>
            <w:tcW w:type="dxa" w:w="2160"/>
          </w:tcPr>
          <w:p>
            <w:r>
              <w:rPr>
                <w:sz w:val="20"/>
              </w:rPr>
              <w:t>2.3</w:t>
            </w:r>
          </w:p>
        </w:tc>
        <w:tc>
          <w:tcPr>
            <w:tcW w:type="dxa" w:w="2160"/>
          </w:tcPr>
          <w:p>
            <w:r>
              <w:rPr>
                <w:sz w:val="20"/>
              </w:rPr>
              <w:t>Vendor Performance Framework</w:t>
            </w:r>
          </w:p>
        </w:tc>
        <w:tc>
          <w:tcPr>
            <w:tcW w:type="dxa" w:w="2160"/>
          </w:tcPr>
          <w:p>
            <w:r>
              <w:rPr>
                <w:sz w:val="20"/>
              </w:rPr>
              <w:t>KPIs, efficiency standards, and reporting expectations for outsourced development partners</w:t>
            </w:r>
          </w:p>
        </w:tc>
        <w:tc>
          <w:tcPr>
            <w:tcW w:type="dxa" w:w="2160"/>
          </w:tcPr>
          <w:p>
            <w:r>
              <w:rPr>
                <w:sz w:val="20"/>
              </w:rPr>
              <w:t>Weeks 6-10</w:t>
            </w:r>
          </w:p>
        </w:tc>
      </w:tr>
    </w:tbl>
    <w:p/>
    <w:p>
      <w:pPr>
        <w:pStyle w:val="Heading2"/>
      </w:pPr>
      <w:r>
        <w:t>Out of Scope</w:t>
      </w:r>
    </w:p>
    <w:p>
      <w:pPr>
        <w:pStyle w:val="ListBullet"/>
      </w:pPr>
      <w:r>
        <w:rPr>
          <w:sz w:val="20"/>
        </w:rPr>
        <w:t>Enterprise AI strategy and ML model development (focus is AI engineering tooling for software development only)</w:t>
      </w:r>
    </w:p>
    <w:p>
      <w:pPr>
        <w:pStyle w:val="ListBullet"/>
      </w:pPr>
      <w:r>
        <w:rPr>
          <w:sz w:val="20"/>
        </w:rPr>
        <w:t>Implementation of dashboards, scorecards, or quality gates (all deliverables are specifications, frameworks, and recommendations)</w:t>
      </w:r>
    </w:p>
    <w:p>
      <w:pPr>
        <w:pStyle w:val="ListBullet"/>
      </w:pPr>
      <w:r>
        <w:rPr>
          <w:sz w:val="20"/>
        </w:rPr>
        <w:t>Tool selection and licensing decisions (Yelin.io provides recommendations only)</w:t>
      </w:r>
    </w:p>
    <w:p>
      <w:pPr>
        <w:pStyle w:val="ListBullet"/>
      </w:pPr>
      <w:r>
        <w:rPr>
          <w:sz w:val="20"/>
        </w:rPr>
        <w:t>Strategic options catalogue (Claude Code pilot, on-site sprints, coaching, continuous improvement, executive coaching) -- available as separate engagement</w:t>
      </w:r>
    </w:p>
    <w:p>
      <w:pPr>
        <w:pStyle w:val="ListBullet"/>
      </w:pPr>
      <w:r>
        <w:rPr>
          <w:sz w:val="20"/>
        </w:rPr>
        <w:t>End-user training for non-technical staff</w:t>
      </w:r>
    </w:p>
    <w:p>
      <w:pPr>
        <w:pStyle w:val="ListBullet"/>
      </w:pPr>
      <w:r>
        <w:rPr>
          <w:sz w:val="20"/>
        </w:rPr>
        <w:t>Production infrastructure management or DevOps responsibilities</w:t>
      </w:r>
    </w:p>
    <w:p>
      <w:pPr>
        <w:pStyle w:val="Heading1"/>
      </w:pPr>
      <w:r>
        <w:rPr>
          <w:color w:val="1B3A5C"/>
        </w:rPr>
        <w:t>5. Assumptions</w:t>
      </w:r>
    </w:p>
    <w:p>
      <w:r>
        <w:rPr>
          <w:sz w:val="20"/>
        </w:rPr>
        <w:t>Client-Side Assumptions:</w:t>
      </w:r>
    </w:p>
    <w:p>
      <w:pPr>
        <w:pStyle w:val="ListBullet"/>
      </w:pPr>
      <w:r>
        <w:rPr>
          <w:sz w:val="20"/>
        </w:rPr>
        <w:t>TBI Bank will provide timely access to Jira data, GitHub Copilot telemetry, and PR data within the first two weeks</w:t>
      </w:r>
    </w:p>
    <w:p>
      <w:pPr>
        <w:pStyle w:val="ListBullet"/>
      </w:pPr>
      <w:r>
        <w:rPr>
          <w:sz w:val="20"/>
        </w:rPr>
        <w:t>The internal working group (Nikola Kalfov, Oleksandr Kyslashko, Pavlina Bazhlekova, Sinan Turkmen) will be available for weekly 1-hour sessions</w:t>
      </w:r>
    </w:p>
    <w:p>
      <w:pPr>
        <w:pStyle w:val="ListBullet"/>
      </w:pPr>
      <w:r>
        <w:rPr>
          <w:sz w:val="20"/>
        </w:rPr>
        <w:t>SVP Technology (Gurkan Papila) will be available for fortnightly 30-minute executive checkpoints</w:t>
      </w:r>
    </w:p>
    <w:p>
      <w:pPr>
        <w:pStyle w:val="ListBullet"/>
      </w:pPr>
      <w:r>
        <w:rPr>
          <w:sz w:val="20"/>
        </w:rPr>
        <w:t>TBI Bank will facilitate vendor communications where engagement with outsourced partners is required</w:t>
      </w:r>
    </w:p>
    <w:p>
      <w:pPr>
        <w:pStyle w:val="ListBullet"/>
      </w:pPr>
      <w:r>
        <w:rPr>
          <w:sz w:val="20"/>
        </w:rPr>
        <w:t>TBI Bank will designate a primary technical point of contact for day-to-day coordination</w:t>
      </w:r>
    </w:p>
    <w:p>
      <w:r>
        <w:rPr>
          <w:sz w:val="20"/>
        </w:rPr>
        <w:t>Scope Boundaries:</w:t>
      </w:r>
    </w:p>
    <w:p>
      <w:pPr>
        <w:pStyle w:val="ListBullet"/>
      </w:pPr>
      <w:r>
        <w:rPr>
          <w:sz w:val="20"/>
        </w:rPr>
        <w:t>All deliverables are advisory: specifications, frameworks, and recommendations -- implementation is TBI Bank's responsibility</w:t>
      </w:r>
    </w:p>
    <w:p>
      <w:pPr>
        <w:pStyle w:val="ListBullet"/>
      </w:pPr>
      <w:r>
        <w:rPr>
          <w:sz w:val="20"/>
        </w:rPr>
        <w:t>Tool selection and licensing remains TBI Bank's responsibility; Yelin.io provides recommendations only</w:t>
      </w:r>
    </w:p>
    <w:p>
      <w:pPr>
        <w:pStyle w:val="ListBullet"/>
      </w:pPr>
      <w:r>
        <w:rPr>
          <w:sz w:val="20"/>
        </w:rPr>
        <w:t>Delivery is remote with on-site visits available as a strategic option (separate engagement)</w:t>
      </w:r>
    </w:p>
    <w:p>
      <w:pPr>
        <w:pStyle w:val="ListBullet"/>
      </w:pPr>
      <w:r>
        <w:rPr>
          <w:sz w:val="20"/>
        </w:rPr>
        <w:t>Any material changes to scope, timeline, or budget will follow the Change Request Process (Appendix A)</w:t>
      </w:r>
    </w:p>
    <w:p>
      <w:r>
        <w:rPr>
          <w:sz w:val="20"/>
        </w:rPr>
        <w:t>Key Dependencies:</w:t>
      </w:r>
    </w:p>
    <w:p>
      <w:pPr>
        <w:pStyle w:val="ListBullet"/>
      </w:pPr>
      <w:r>
        <w:rPr>
          <w:sz w:val="20"/>
        </w:rPr>
        <w:t>Jira data quality: if story point estimation or ticket hygiene is inconsistent, baseline accuracy may be limited -- Yelin.io will flag issues early</w:t>
      </w:r>
    </w:p>
    <w:p>
      <w:pPr>
        <w:pStyle w:val="ListBullet"/>
      </w:pPr>
      <w:r>
        <w:rPr>
          <w:sz w:val="20"/>
        </w:rPr>
        <w:t>Vendor cooperation: framework requires vendor willingness to share data -- executive communication from TBI Bank recommended</w:t>
      </w:r>
    </w:p>
    <w:p>
      <w:pPr>
        <w:pStyle w:val="ListBullet"/>
      </w:pPr>
      <w:r>
        <w:rPr>
          <w:sz w:val="20"/>
        </w:rPr>
        <w:t>Concurrent initiatives: major disruptions during the engagement window could impact working group availability and data reliability</w:t>
      </w:r>
    </w:p>
    <w:p>
      <w:pPr>
        <w:pStyle w:val="ListBullet"/>
      </w:pPr>
      <w:r>
        <w:rPr>
          <w:sz w:val="20"/>
        </w:rPr>
        <w:t>Yelin.io will identify and flag any data quality or access issues in the first two weeks to minimise programme risk</w:t>
      </w:r>
    </w:p>
    <w:p>
      <w:pPr>
        <w:pStyle w:val="ListBullet"/>
      </w:pPr>
      <w:r>
        <w:rPr>
          <w:sz w:val="20"/>
        </w:rPr>
        <w:t>Yelin.io resources will work contiguously from start to finish</w:t>
      </w:r>
    </w:p>
    <w:p>
      <w:r>
        <w:br w:type="page"/>
      </w:r>
    </w:p>
    <w:p>
      <w:pPr>
        <w:pStyle w:val="Heading1"/>
      </w:pPr>
      <w:r>
        <w:rPr>
          <w:color w:val="1B3A5C"/>
        </w:rPr>
        <w:t>6. Deliverables</w:t>
      </w:r>
    </w:p>
    <w:p>
      <w:r>
        <w:rPr>
          <w:sz w:val="20"/>
        </w:rPr>
        <w:t>Yelin.io will provide the following deliverables. All deliverables will be reviewed and approved by TBI Bank, with opportunity for revision.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Deliverable</w:t>
            </w:r>
          </w:p>
        </w:tc>
        <w:tc>
          <w:tcPr>
            <w:tcW w:type="dxa" w:w="2160"/>
            <w:shd w:val="clear" w:color="auto" w:fill="1B3A5C"/>
          </w:tcPr>
          <w:p>
            <w:r>
              <w:rPr>
                <w:b/>
                <w:color w:val="FFFFFF"/>
                <w:sz w:val="20"/>
              </w:rPr>
              <w:t>Description</w:t>
            </w:r>
          </w:p>
        </w:tc>
        <w:tc>
          <w:tcPr>
            <w:tcW w:type="dxa" w:w="2160"/>
            <w:shd w:val="clear" w:color="auto" w:fill="1B3A5C"/>
          </w:tcPr>
          <w:p>
            <w:r>
              <w:rPr>
                <w:b/>
                <w:color w:val="FFFFFF"/>
                <w:sz w:val="20"/>
              </w:rPr>
              <w:t>Format</w:t>
            </w:r>
          </w:p>
        </w:tc>
        <w:tc>
          <w:tcPr>
            <w:tcW w:type="dxa" w:w="2160"/>
            <w:shd w:val="clear" w:color="auto" w:fill="1B3A5C"/>
          </w:tcPr>
          <w:p>
            <w:r>
              <w:rPr>
                <w:b/>
                <w:color w:val="FFFFFF"/>
                <w:sz w:val="20"/>
              </w:rPr>
              <w:t>Due</w:t>
            </w:r>
          </w:p>
        </w:tc>
      </w:tr>
      <w:tr>
        <w:tc>
          <w:tcPr>
            <w:tcW w:type="dxa" w:w="2160"/>
          </w:tcPr>
          <w:p>
            <w:r>
              <w:rPr>
                <w:sz w:val="20"/>
              </w:rPr>
              <w:t>Data Landscape Audit</w:t>
            </w:r>
          </w:p>
        </w:tc>
        <w:tc>
          <w:tcPr>
            <w:tcW w:type="dxa" w:w="2160"/>
          </w:tcPr>
          <w:p>
            <w:r>
              <w:rPr>
                <w:sz w:val="20"/>
              </w:rPr>
              <w:t>Inventory, quality assessment, and gap analysis of existing data sources</w:t>
            </w:r>
          </w:p>
        </w:tc>
        <w:tc>
          <w:tcPr>
            <w:tcW w:type="dxa" w:w="2160"/>
          </w:tcPr>
          <w:p>
            <w:r>
              <w:rPr>
                <w:sz w:val="20"/>
              </w:rPr>
              <w:t>Report (DOCX/PDF)</w:t>
            </w:r>
          </w:p>
        </w:tc>
        <w:tc>
          <w:tcPr>
            <w:tcW w:type="dxa" w:w="2160"/>
          </w:tcPr>
          <w:p>
            <w:r>
              <w:rPr>
                <w:sz w:val="20"/>
              </w:rPr>
              <w:t>Week 3</w:t>
            </w:r>
          </w:p>
        </w:tc>
      </w:tr>
      <w:tr>
        <w:tc>
          <w:tcPr>
            <w:tcW w:type="dxa" w:w="2160"/>
          </w:tcPr>
          <w:p>
            <w:r>
              <w:rPr>
                <w:sz w:val="20"/>
              </w:rPr>
              <w:t>Unified KPI Framework</w:t>
            </w:r>
          </w:p>
        </w:tc>
        <w:tc>
          <w:tcPr>
            <w:tcW w:type="dxa" w:w="2160"/>
          </w:tcPr>
          <w:p>
            <w:r>
              <w:rPr>
                <w:sz w:val="20"/>
              </w:rPr>
              <w:t>Adoption, velocity, quality, and predictability indicators</w:t>
            </w:r>
          </w:p>
        </w:tc>
        <w:tc>
          <w:tcPr>
            <w:tcW w:type="dxa" w:w="2160"/>
          </w:tcPr>
          <w:p>
            <w:r>
              <w:rPr>
                <w:sz w:val="20"/>
              </w:rPr>
              <w:t>Framework Doc + XLSX</w:t>
            </w:r>
          </w:p>
        </w:tc>
        <w:tc>
          <w:tcPr>
            <w:tcW w:type="dxa" w:w="2160"/>
          </w:tcPr>
          <w:p>
            <w:r>
              <w:rPr>
                <w:sz w:val="20"/>
              </w:rPr>
              <w:t>Week 4</w:t>
            </w:r>
          </w:p>
        </w:tc>
      </w:tr>
      <w:tr>
        <w:tc>
          <w:tcPr>
            <w:tcW w:type="dxa" w:w="2160"/>
          </w:tcPr>
          <w:p>
            <w:r>
              <w:rPr>
                <w:sz w:val="20"/>
              </w:rPr>
              <w:t>Baseline Measurement Report</w:t>
            </w:r>
          </w:p>
        </w:tc>
        <w:tc>
          <w:tcPr>
            <w:tcW w:type="dxa" w:w="2160"/>
          </w:tcPr>
          <w:p>
            <w:r>
              <w:rPr>
                <w:sz w:val="20"/>
              </w:rPr>
              <w:t>Pre-intervention snapshot against defined KPIs</w:t>
            </w:r>
          </w:p>
        </w:tc>
        <w:tc>
          <w:tcPr>
            <w:tcW w:type="dxa" w:w="2160"/>
          </w:tcPr>
          <w:p>
            <w:r>
              <w:rPr>
                <w:sz w:val="20"/>
              </w:rPr>
              <w:t>Report (DOCX/PDF)</w:t>
            </w:r>
          </w:p>
        </w:tc>
        <w:tc>
          <w:tcPr>
            <w:tcW w:type="dxa" w:w="2160"/>
          </w:tcPr>
          <w:p>
            <w:r>
              <w:rPr>
                <w:sz w:val="20"/>
              </w:rPr>
              <w:t>Week 4</w:t>
            </w:r>
          </w:p>
        </w:tc>
      </w:tr>
      <w:tr>
        <w:tc>
          <w:tcPr>
            <w:tcW w:type="dxa" w:w="2160"/>
          </w:tcPr>
          <w:p>
            <w:r>
              <w:rPr>
                <w:sz w:val="20"/>
              </w:rPr>
              <w:t>Week 6 Interim Report</w:t>
            </w:r>
          </w:p>
        </w:tc>
        <w:tc>
          <w:tcPr>
            <w:tcW w:type="dxa" w:w="2160"/>
          </w:tcPr>
          <w:p>
            <w:r>
              <w:rPr>
                <w:sz w:val="20"/>
              </w:rPr>
              <w:t>Early adoption patterns, initial baseline data, and course corrections</w:t>
            </w:r>
          </w:p>
        </w:tc>
        <w:tc>
          <w:tcPr>
            <w:tcW w:type="dxa" w:w="2160"/>
          </w:tcPr>
          <w:p>
            <w:r>
              <w:rPr>
                <w:sz w:val="20"/>
              </w:rPr>
              <w:t>Presentation (PPTX)</w:t>
            </w:r>
          </w:p>
        </w:tc>
        <w:tc>
          <w:tcPr>
            <w:tcW w:type="dxa" w:w="2160"/>
          </w:tcPr>
          <w:p>
            <w:r>
              <w:rPr>
                <w:sz w:val="20"/>
              </w:rPr>
              <w:t>Week 6</w:t>
            </w:r>
          </w:p>
        </w:tc>
      </w:tr>
      <w:tr>
        <w:tc>
          <w:tcPr>
            <w:tcW w:type="dxa" w:w="2160"/>
          </w:tcPr>
          <w:p>
            <w:r>
              <w:rPr>
                <w:sz w:val="20"/>
              </w:rPr>
              <w:t>Executive Dashboard Specification</w:t>
            </w:r>
          </w:p>
        </w:tc>
        <w:tc>
          <w:tcPr>
            <w:tcW w:type="dxa" w:w="2160"/>
          </w:tcPr>
          <w:p>
            <w:r>
              <w:rPr>
                <w:sz w:val="20"/>
              </w:rPr>
              <w:t>Design and data requirements for TBI Bank to build</w:t>
            </w:r>
          </w:p>
        </w:tc>
        <w:tc>
          <w:tcPr>
            <w:tcW w:type="dxa" w:w="2160"/>
          </w:tcPr>
          <w:p>
            <w:r>
              <w:rPr>
                <w:sz w:val="20"/>
              </w:rPr>
              <w:t>Specification (DOCX)</w:t>
            </w:r>
          </w:p>
        </w:tc>
        <w:tc>
          <w:tcPr>
            <w:tcW w:type="dxa" w:w="2160"/>
          </w:tcPr>
          <w:p>
            <w:r>
              <w:rPr>
                <w:sz w:val="20"/>
              </w:rPr>
              <w:t>Week 8</w:t>
            </w:r>
          </w:p>
        </w:tc>
      </w:tr>
      <w:tr>
        <w:tc>
          <w:tcPr>
            <w:tcW w:type="dxa" w:w="2160"/>
          </w:tcPr>
          <w:p>
            <w:r>
              <w:rPr>
                <w:sz w:val="20"/>
              </w:rPr>
              <w:t>Team-Level Scorecards</w:t>
            </w:r>
          </w:p>
        </w:tc>
        <w:tc>
          <w:tcPr>
            <w:tcW w:type="dxa" w:w="2160"/>
          </w:tcPr>
          <w:p>
            <w:r>
              <w:rPr>
                <w:sz w:val="20"/>
              </w:rPr>
              <w:t>Per-team adoption and maturity views</w:t>
            </w:r>
          </w:p>
        </w:tc>
        <w:tc>
          <w:tcPr>
            <w:tcW w:type="dxa" w:w="2160"/>
          </w:tcPr>
          <w:p>
            <w:r>
              <w:rPr>
                <w:sz w:val="20"/>
              </w:rPr>
              <w:t>XLSX + PDF</w:t>
            </w:r>
          </w:p>
        </w:tc>
        <w:tc>
          <w:tcPr>
            <w:tcW w:type="dxa" w:w="2160"/>
          </w:tcPr>
          <w:p>
            <w:r>
              <w:rPr>
                <w:sz w:val="20"/>
              </w:rPr>
              <w:t>Week 8</w:t>
            </w:r>
          </w:p>
        </w:tc>
      </w:tr>
      <w:tr>
        <w:tc>
          <w:tcPr>
            <w:tcW w:type="dxa" w:w="2160"/>
          </w:tcPr>
          <w:p>
            <w:r>
              <w:rPr>
                <w:sz w:val="20"/>
              </w:rPr>
              <w:t>AI Acceleration Overlay</w:t>
            </w:r>
          </w:p>
        </w:tc>
        <w:tc>
          <w:tcPr>
            <w:tcW w:type="dxa" w:w="2160"/>
          </w:tcPr>
          <w:p>
            <w:r>
              <w:rPr>
                <w:sz w:val="20"/>
              </w:rPr>
              <w:t>SDLC integration map for AI tooling</w:t>
            </w:r>
          </w:p>
        </w:tc>
        <w:tc>
          <w:tcPr>
            <w:tcW w:type="dxa" w:w="2160"/>
          </w:tcPr>
          <w:p>
            <w:r>
              <w:rPr>
                <w:sz w:val="20"/>
              </w:rPr>
              <w:t>Report (DOCX/PDF)</w:t>
            </w:r>
          </w:p>
        </w:tc>
        <w:tc>
          <w:tcPr>
            <w:tcW w:type="dxa" w:w="2160"/>
          </w:tcPr>
          <w:p>
            <w:r>
              <w:rPr>
                <w:sz w:val="20"/>
              </w:rPr>
              <w:t>Week 6</w:t>
            </w:r>
          </w:p>
        </w:tc>
      </w:tr>
      <w:tr>
        <w:tc>
          <w:tcPr>
            <w:tcW w:type="dxa" w:w="2160"/>
          </w:tcPr>
          <w:p>
            <w:r>
              <w:rPr>
                <w:sz w:val="20"/>
              </w:rPr>
              <w:t>AI Quality Gates Specification</w:t>
            </w:r>
          </w:p>
        </w:tc>
        <w:tc>
          <w:tcPr>
            <w:tcW w:type="dxa" w:w="2160"/>
          </w:tcPr>
          <w:p>
            <w:r>
              <w:rPr>
                <w:sz w:val="20"/>
              </w:rPr>
              <w:t>Standards for AI-generated code review and acceptance</w:t>
            </w:r>
          </w:p>
        </w:tc>
        <w:tc>
          <w:tcPr>
            <w:tcW w:type="dxa" w:w="2160"/>
          </w:tcPr>
          <w:p>
            <w:r>
              <w:rPr>
                <w:sz w:val="20"/>
              </w:rPr>
              <w:t>Specification (DOCX)</w:t>
            </w:r>
          </w:p>
        </w:tc>
        <w:tc>
          <w:tcPr>
            <w:tcW w:type="dxa" w:w="2160"/>
          </w:tcPr>
          <w:p>
            <w:r>
              <w:rPr>
                <w:sz w:val="20"/>
              </w:rPr>
              <w:t>Week 7</w:t>
            </w:r>
          </w:p>
        </w:tc>
      </w:tr>
      <w:tr>
        <w:tc>
          <w:tcPr>
            <w:tcW w:type="dxa" w:w="2160"/>
          </w:tcPr>
          <w:p>
            <w:r>
              <w:rPr>
                <w:sz w:val="20"/>
              </w:rPr>
              <w:t>Vendor Performance Framework</w:t>
            </w:r>
          </w:p>
        </w:tc>
        <w:tc>
          <w:tcPr>
            <w:tcW w:type="dxa" w:w="2160"/>
          </w:tcPr>
          <w:p>
            <w:r>
              <w:rPr>
                <w:sz w:val="20"/>
              </w:rPr>
              <w:t>KPIs, efficiency standards, and reporting expectations</w:t>
            </w:r>
          </w:p>
        </w:tc>
        <w:tc>
          <w:tcPr>
            <w:tcW w:type="dxa" w:w="2160"/>
          </w:tcPr>
          <w:p>
            <w:r>
              <w:rPr>
                <w:sz w:val="20"/>
              </w:rPr>
              <w:t>Framework Doc (DOCX)</w:t>
            </w:r>
          </w:p>
        </w:tc>
        <w:tc>
          <w:tcPr>
            <w:tcW w:type="dxa" w:w="2160"/>
          </w:tcPr>
          <w:p>
            <w:r>
              <w:rPr>
                <w:sz w:val="20"/>
              </w:rPr>
              <w:t>Week 10</w:t>
            </w:r>
          </w:p>
        </w:tc>
      </w:tr>
      <w:tr>
        <w:tc>
          <w:tcPr>
            <w:tcW w:type="dxa" w:w="2160"/>
          </w:tcPr>
          <w:p>
            <w:r>
              <w:rPr>
                <w:sz w:val="20"/>
              </w:rPr>
              <w:t>Change Management Plan &amp; 90-Day Impact Assessment</w:t>
            </w:r>
          </w:p>
        </w:tc>
        <w:tc>
          <w:tcPr>
            <w:tcW w:type="dxa" w:w="2160"/>
          </w:tcPr>
          <w:p>
            <w:r>
              <w:rPr>
                <w:sz w:val="20"/>
              </w:rPr>
              <w:t>Outcomes vs baseline and next-phase recommendations</w:t>
            </w:r>
          </w:p>
        </w:tc>
        <w:tc>
          <w:tcPr>
            <w:tcW w:type="dxa" w:w="2160"/>
          </w:tcPr>
          <w:p>
            <w:r>
              <w:rPr>
                <w:sz w:val="20"/>
              </w:rPr>
              <w:t>Report + Presentation</w:t>
            </w:r>
          </w:p>
        </w:tc>
        <w:tc>
          <w:tcPr>
            <w:tcW w:type="dxa" w:w="2160"/>
          </w:tcPr>
          <w:p>
            <w:r>
              <w:rPr>
                <w:sz w:val="20"/>
              </w:rPr>
              <w:t>Week 12</w:t>
            </w:r>
          </w:p>
        </w:tc>
      </w:tr>
      <w:tr>
        <w:tc>
          <w:tcPr>
            <w:tcW w:type="dxa" w:w="2160"/>
          </w:tcPr>
          <w:p>
            <w:r>
              <w:rPr>
                <w:sz w:val="20"/>
              </w:rPr>
              <w:t>Weekly Progress Reports</w:t>
            </w:r>
          </w:p>
        </w:tc>
        <w:tc>
          <w:tcPr>
            <w:tcW w:type="dxa" w:w="2160"/>
          </w:tcPr>
          <w:p>
            <w:r>
              <w:rPr>
                <w:sz w:val="20"/>
              </w:rPr>
              <w:t>Status updates covering completed work, upcoming activities, risks, and decisions needed</w:t>
            </w:r>
          </w:p>
        </w:tc>
        <w:tc>
          <w:tcPr>
            <w:tcW w:type="dxa" w:w="2160"/>
          </w:tcPr>
          <w:p>
            <w:r>
              <w:rPr>
                <w:sz w:val="20"/>
              </w:rPr>
              <w:t>Email</w:t>
            </w:r>
          </w:p>
        </w:tc>
        <w:tc>
          <w:tcPr>
            <w:tcW w:type="dxa" w:w="2160"/>
          </w:tcPr>
          <w:p>
            <w:r>
              <w:rPr>
                <w:sz w:val="20"/>
              </w:rPr>
              <w:t>Weekly</w:t>
            </w:r>
          </w:p>
        </w:tc>
      </w:tr>
    </w:tbl>
    <w:p>
      <w:pPr>
        <w:pStyle w:val="Heading1"/>
      </w:pPr>
      <w:r>
        <w:rPr>
          <w:color w:val="1B3A5C"/>
        </w:rPr>
        <w:t>7. Services &amp; Approach</w:t>
      </w:r>
    </w:p>
    <w:p>
      <w:r>
        <w:rPr>
          <w:sz w:val="20"/>
        </w:rPr>
        <w:t>The engagement follows a phased approach over 12 weeks: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C"/>
          </w:tcPr>
          <w:p>
            <w:r>
              <w:rPr>
                <w:b/>
                <w:color w:val="FFFFFF"/>
                <w:sz w:val="20"/>
              </w:rPr>
              <w:t>Phase</w:t>
            </w:r>
          </w:p>
        </w:tc>
        <w:tc>
          <w:tcPr>
            <w:tcW w:type="dxa" w:w="2880"/>
            <w:shd w:val="clear" w:color="auto" w:fill="1B3A5C"/>
          </w:tcPr>
          <w:p>
            <w:r>
              <w:rPr>
                <w:b/>
                <w:color w:val="FFFFFF"/>
                <w:sz w:val="20"/>
              </w:rPr>
              <w:t>Activities</w:t>
            </w:r>
          </w:p>
        </w:tc>
        <w:tc>
          <w:tcPr>
            <w:tcW w:type="dxa" w:w="2880"/>
            <w:shd w:val="clear" w:color="auto" w:fill="1B3A5C"/>
          </w:tcPr>
          <w:p>
            <w:r>
              <w:rPr>
                <w:b/>
                <w:color w:val="FFFFFF"/>
                <w:sz w:val="20"/>
              </w:rPr>
              <w:t>Duration</w:t>
            </w:r>
          </w:p>
        </w:tc>
      </w:tr>
      <w:tr>
        <w:tc>
          <w:tcPr>
            <w:tcW w:type="dxa" w:w="2880"/>
          </w:tcPr>
          <w:p>
            <w:r>
              <w:rPr>
                <w:sz w:val="20"/>
              </w:rPr>
              <w:t>Foundation (Weeks 1-3)</w:t>
            </w:r>
          </w:p>
        </w:tc>
        <w:tc>
          <w:tcPr>
            <w:tcW w:type="dxa" w:w="2880"/>
          </w:tcPr>
          <w:p>
            <w:r>
              <w:rPr>
                <w:sz w:val="20"/>
              </w:rPr>
              <w:t>Data landscape audit, KPI framework design, baseline measurement, initial workflow assessment</w:t>
            </w:r>
          </w:p>
        </w:tc>
        <w:tc>
          <w:tcPr>
            <w:tcW w:type="dxa" w:w="2880"/>
          </w:tcPr>
          <w:p>
            <w:r>
              <w:rPr>
                <w:sz w:val="20"/>
              </w:rPr>
              <w:t>3 weeks</w:t>
            </w:r>
          </w:p>
        </w:tc>
      </w:tr>
      <w:tr>
        <w:tc>
          <w:tcPr>
            <w:tcW w:type="dxa" w:w="2880"/>
          </w:tcPr>
          <w:p>
            <w:r>
              <w:rPr>
                <w:sz w:val="20"/>
              </w:rPr>
              <w:t>Build &amp; Enable (Weeks 4-8)</w:t>
            </w:r>
          </w:p>
        </w:tc>
        <w:tc>
          <w:tcPr>
            <w:tcW w:type="dxa" w:w="2880"/>
          </w:tcPr>
          <w:p>
            <w:r>
              <w:rPr>
                <w:sz w:val="20"/>
              </w:rPr>
              <w:t>Dashboard specification, team scorecards, AI acceleration overlay, quality gates, vendor framework development</w:t>
            </w:r>
          </w:p>
        </w:tc>
        <w:tc>
          <w:tcPr>
            <w:tcW w:type="dxa" w:w="2880"/>
          </w:tcPr>
          <w:p>
            <w:r>
              <w:rPr>
                <w:sz w:val="20"/>
              </w:rPr>
              <w:t>5 weeks</w:t>
            </w:r>
          </w:p>
        </w:tc>
      </w:tr>
      <w:tr>
        <w:tc>
          <w:tcPr>
            <w:tcW w:type="dxa" w:w="2880"/>
          </w:tcPr>
          <w:p>
            <w:r>
              <w:rPr>
                <w:sz w:val="20"/>
              </w:rPr>
              <w:t>Measure &amp; Report (Weeks 9-12)</w:t>
            </w:r>
          </w:p>
        </w:tc>
        <w:tc>
          <w:tcPr>
            <w:tcW w:type="dxa" w:w="2880"/>
          </w:tcPr>
          <w:p>
            <w:r>
              <w:rPr>
                <w:sz w:val="20"/>
              </w:rPr>
              <w:t>Impact measurement, vendor framework delivery, 90-day impact assessment, next-phase recommendations</w:t>
            </w:r>
          </w:p>
        </w:tc>
        <w:tc>
          <w:tcPr>
            <w:tcW w:type="dxa" w:w="2880"/>
          </w:tcPr>
          <w:p>
            <w:r>
              <w:rPr>
                <w:sz w:val="20"/>
              </w:rPr>
              <w:t>4 weeks</w:t>
            </w:r>
          </w:p>
        </w:tc>
      </w:tr>
    </w:tbl>
    <w:p>
      <w:r>
        <w:rPr>
          <w:sz w:val="20"/>
        </w:rPr>
        <w:t>Key Milestone: Week 6 Interim Report -- early adoption patterns, initial baseline data, and course corrections. Actionable data well before engagement end.</w:t>
      </w:r>
    </w:p>
    <w:p>
      <w:pPr>
        <w:pStyle w:val="Heading1"/>
      </w:pPr>
      <w:r>
        <w:rPr>
          <w:color w:val="1B3A5C"/>
        </w:rPr>
        <w:t>8. Team &amp; Roles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Role</w:t>
            </w:r>
          </w:p>
        </w:tc>
        <w:tc>
          <w:tcPr>
            <w:tcW w:type="dxa" w:w="2160"/>
            <w:shd w:val="clear" w:color="auto" w:fill="1B3A5C"/>
          </w:tcPr>
          <w:p>
            <w:r>
              <w:rPr>
                <w:b/>
                <w:color w:val="FFFFFF"/>
                <w:sz w:val="20"/>
              </w:rPr>
              <w:t>Name</w:t>
            </w:r>
          </w:p>
        </w:tc>
        <w:tc>
          <w:tcPr>
            <w:tcW w:type="dxa" w:w="2160"/>
            <w:shd w:val="clear" w:color="auto" w:fill="1B3A5C"/>
          </w:tcPr>
          <w:p>
            <w:r>
              <w:rPr>
                <w:b/>
                <w:color w:val="FFFFFF"/>
                <w:sz w:val="20"/>
              </w:rPr>
              <w:t>Responsibility</w:t>
            </w:r>
          </w:p>
        </w:tc>
        <w:tc>
          <w:tcPr>
            <w:tcW w:type="dxa" w:w="2160"/>
            <w:shd w:val="clear" w:color="auto" w:fill="1B3A5C"/>
          </w:tcPr>
          <w:p>
            <w:r>
              <w:rPr>
                <w:b/>
                <w:color w:val="FFFFFF"/>
                <w:sz w:val="20"/>
              </w:rPr>
              <w:t>Type</w:t>
            </w:r>
          </w:p>
        </w:tc>
      </w:tr>
      <w:tr>
        <w:tc>
          <w:tcPr>
            <w:tcW w:type="dxa" w:w="2160"/>
          </w:tcPr>
          <w:p>
            <w:r>
              <w:rPr>
                <w:sz w:val="20"/>
              </w:rPr>
              <w:t>Principal / Advisory Lead</w:t>
            </w:r>
          </w:p>
        </w:tc>
        <w:tc>
          <w:tcPr>
            <w:tcW w:type="dxa" w:w="2160"/>
          </w:tcPr>
          <w:p>
            <w:r>
              <w:rPr>
                <w:sz w:val="20"/>
              </w:rPr>
              <w:t>Henry Yelin</w:t>
            </w:r>
          </w:p>
        </w:tc>
        <w:tc>
          <w:tcPr>
            <w:tcW w:type="dxa" w:w="2160"/>
          </w:tcPr>
          <w:p>
            <w:r>
              <w:rPr>
                <w:sz w:val="20"/>
              </w:rPr>
              <w:t>Executive alignment, PE reporting, strategy</w:t>
            </w:r>
          </w:p>
        </w:tc>
        <w:tc>
          <w:tcPr>
            <w:tcW w:type="dxa" w:w="2160"/>
          </w:tcPr>
          <w:p>
            <w:r>
              <w:rPr>
                <w:sz w:val="20"/>
              </w:rPr>
              <w:t>Yelin.io</w:t>
            </w:r>
          </w:p>
        </w:tc>
      </w:tr>
      <w:tr>
        <w:tc>
          <w:tcPr>
            <w:tcW w:type="dxa" w:w="2160"/>
          </w:tcPr>
          <w:p>
            <w:r>
              <w:rPr>
                <w:sz w:val="20"/>
              </w:rPr>
              <w:t>CTO / Technical Lead</w:t>
            </w:r>
          </w:p>
        </w:tc>
        <w:tc>
          <w:tcPr>
            <w:tcW w:type="dxa" w:w="2160"/>
          </w:tcPr>
          <w:p>
            <w:r>
              <w:rPr>
                <w:sz w:val="20"/>
              </w:rPr>
              <w:t>Russell Beggs</w:t>
            </w:r>
          </w:p>
        </w:tc>
        <w:tc>
          <w:tcPr>
            <w:tcW w:type="dxa" w:w="2160"/>
          </w:tcPr>
          <w:p>
            <w:r>
              <w:rPr>
                <w:sz w:val="20"/>
              </w:rPr>
              <w:t>Measurement design, workflow, vendor frameworks</w:t>
            </w:r>
          </w:p>
        </w:tc>
        <w:tc>
          <w:tcPr>
            <w:tcW w:type="dxa" w:w="2160"/>
          </w:tcPr>
          <w:p>
            <w:r>
              <w:rPr>
                <w:sz w:val="20"/>
              </w:rPr>
              <w:t>Yelin.io</w:t>
            </w:r>
          </w:p>
        </w:tc>
      </w:tr>
      <w:tr>
        <w:tc>
          <w:tcPr>
            <w:tcW w:type="dxa" w:w="2160"/>
          </w:tcPr>
          <w:p>
            <w:r>
              <w:rPr>
                <w:sz w:val="20"/>
              </w:rPr>
              <w:t>Programme Manager</w:t>
            </w:r>
          </w:p>
        </w:tc>
        <w:tc>
          <w:tcPr>
            <w:tcW w:type="dxa" w:w="2160"/>
          </w:tcPr>
          <w:p>
            <w:r>
              <w:rPr>
                <w:sz w:val="20"/>
              </w:rPr>
              <w:t>Mike Duncan</w:t>
            </w:r>
          </w:p>
        </w:tc>
        <w:tc>
          <w:tcPr>
            <w:tcW w:type="dxa" w:w="2160"/>
          </w:tcPr>
          <w:p>
            <w:r>
              <w:rPr>
                <w:sz w:val="20"/>
              </w:rPr>
              <w:t>Stakeholder coordination, delivery cadence, project management</w:t>
            </w:r>
          </w:p>
        </w:tc>
        <w:tc>
          <w:tcPr>
            <w:tcW w:type="dxa" w:w="2160"/>
          </w:tcPr>
          <w:p>
            <w:r>
              <w:rPr>
                <w:sz w:val="20"/>
              </w:rPr>
              <w:t>Yelin.io</w:t>
            </w:r>
          </w:p>
        </w:tc>
      </w:tr>
      <w:tr>
        <w:tc>
          <w:tcPr>
            <w:tcW w:type="dxa" w:w="2160"/>
          </w:tcPr>
          <w:p>
            <w:r>
              <w:rPr>
                <w:sz w:val="20"/>
              </w:rPr>
              <w:t>Executive Sponsor</w:t>
            </w:r>
          </w:p>
        </w:tc>
        <w:tc>
          <w:tcPr>
            <w:tcW w:type="dxa" w:w="2160"/>
          </w:tcPr>
          <w:p>
            <w:r>
              <w:rPr>
                <w:sz w:val="20"/>
              </w:rPr>
              <w:t>Gurkan Papila (SVP Technology)</w:t>
            </w:r>
          </w:p>
        </w:tc>
        <w:tc>
          <w:tcPr>
            <w:tcW w:type="dxa" w:w="2160"/>
          </w:tcPr>
          <w:p>
            <w:r>
              <w:rPr>
                <w:sz w:val="20"/>
              </w:rPr>
              <w:t>Strategic oversight, budget authority, escalation path, fortnightly checkpoints</w:t>
            </w:r>
          </w:p>
        </w:tc>
        <w:tc>
          <w:tcPr>
            <w:tcW w:type="dxa" w:w="2160"/>
          </w:tcPr>
          <w:p>
            <w:r>
              <w:rPr>
                <w:sz w:val="20"/>
              </w:rPr>
              <w:t>TBI Bank</w:t>
            </w:r>
          </w:p>
        </w:tc>
      </w:tr>
      <w:tr>
        <w:tc>
          <w:tcPr>
            <w:tcW w:type="dxa" w:w="2160"/>
          </w:tcPr>
          <w:p>
            <w:r>
              <w:rPr>
                <w:sz w:val="20"/>
              </w:rPr>
              <w:t>Working Group Lead</w:t>
            </w:r>
          </w:p>
        </w:tc>
        <w:tc>
          <w:tcPr>
            <w:tcW w:type="dxa" w:w="2160"/>
          </w:tcPr>
          <w:p>
            <w:r>
              <w:rPr>
                <w:sz w:val="20"/>
              </w:rPr>
              <w:t>Nikola Kalfov</w:t>
            </w:r>
          </w:p>
        </w:tc>
        <w:tc>
          <w:tcPr>
            <w:tcW w:type="dxa" w:w="2160"/>
          </w:tcPr>
          <w:p>
            <w:r>
              <w:rPr>
                <w:sz w:val="20"/>
              </w:rPr>
              <w:t>Day-to-day coordination, data access, technical requirements</w:t>
            </w:r>
          </w:p>
        </w:tc>
        <w:tc>
          <w:tcPr>
            <w:tcW w:type="dxa" w:w="2160"/>
          </w:tcPr>
          <w:p>
            <w:r>
              <w:rPr>
                <w:sz w:val="20"/>
              </w:rPr>
              <w:t>TBI Bank</w:t>
            </w:r>
          </w:p>
        </w:tc>
      </w:tr>
      <w:tr>
        <w:tc>
          <w:tcPr>
            <w:tcW w:type="dxa" w:w="2160"/>
          </w:tcPr>
          <w:p>
            <w:r>
              <w:rPr>
                <w:sz w:val="20"/>
              </w:rPr>
              <w:t>Working Group Members</w:t>
            </w:r>
          </w:p>
        </w:tc>
        <w:tc>
          <w:tcPr>
            <w:tcW w:type="dxa" w:w="2160"/>
          </w:tcPr>
          <w:p>
            <w:r>
              <w:rPr>
                <w:sz w:val="20"/>
              </w:rPr>
              <w:t>Oleksandr Kyslashko, Pavlina Bazhlekova, Sinan Turkmen</w:t>
            </w:r>
          </w:p>
        </w:tc>
        <w:tc>
          <w:tcPr>
            <w:tcW w:type="dxa" w:w="2160"/>
          </w:tcPr>
          <w:p>
            <w:r>
              <w:rPr>
                <w:sz w:val="20"/>
              </w:rPr>
              <w:t>Domain expertise (Mobile, Ops Automation, Data Engineering), weekly sessions</w:t>
            </w:r>
          </w:p>
        </w:tc>
        <w:tc>
          <w:tcPr>
            <w:tcW w:type="dxa" w:w="2160"/>
          </w:tcPr>
          <w:p>
            <w:r>
              <w:rPr>
                <w:sz w:val="20"/>
              </w:rPr>
              <w:t>TBI Bank</w:t>
            </w:r>
          </w:p>
        </w:tc>
      </w:tr>
      <w:tr>
        <w:tc>
          <w:tcPr>
            <w:tcW w:type="dxa" w:w="2160"/>
          </w:tcPr>
          <w:p>
            <w:r>
              <w:rPr>
                <w:sz w:val="20"/>
              </w:rPr>
              <w:t>Commercial Contact</w:t>
            </w:r>
          </w:p>
        </w:tc>
        <w:tc>
          <w:tcPr>
            <w:tcW w:type="dxa" w:w="2160"/>
          </w:tcPr>
          <w:p>
            <w:r>
              <w:rPr>
                <w:sz w:val="20"/>
              </w:rPr>
              <w:t>Katerina [TBD]</w:t>
            </w:r>
          </w:p>
        </w:tc>
        <w:tc>
          <w:tcPr>
            <w:tcW w:type="dxa" w:w="2160"/>
          </w:tcPr>
          <w:p>
            <w:r>
              <w:rPr>
                <w:sz w:val="20"/>
              </w:rPr>
              <w:t>Contract finalization and commercial agreement</w:t>
            </w:r>
          </w:p>
        </w:tc>
        <w:tc>
          <w:tcPr>
            <w:tcW w:type="dxa" w:w="2160"/>
          </w:tcPr>
          <w:p>
            <w:r>
              <w:rPr>
                <w:sz w:val="20"/>
              </w:rPr>
              <w:t>TBI Bank</w:t>
            </w:r>
          </w:p>
        </w:tc>
      </w:tr>
    </w:tbl>
    <w:p>
      <w:pPr>
        <w:pStyle w:val="Heading1"/>
      </w:pPr>
      <w:r>
        <w:rPr>
          <w:color w:val="1B3A5C"/>
        </w:rPr>
        <w:t>9. Timeline</w:t>
      </w:r>
    </w:p>
    <w:p>
      <w:r>
        <w:rPr>
          <w:sz w:val="20"/>
        </w:rPr>
        <w:t>The project timeline is 90 days (12 weeks):</w:t>
      </w:r>
    </w:p>
    <w:p>
      <w:pPr>
        <w:pStyle w:val="ListBullet"/>
      </w:pPr>
      <w:r>
        <w:rPr>
          <w:sz w:val="20"/>
        </w:rPr>
        <w:t>Foundation Phase: Weeks 1-3 -- Target start: week of 23 March 2026</w:t>
      </w:r>
    </w:p>
    <w:p>
      <w:pPr>
        <w:pStyle w:val="ListBullet"/>
      </w:pPr>
      <w:r>
        <w:rPr>
          <w:sz w:val="20"/>
        </w:rPr>
        <w:t>Build &amp; Enable Phase: Weeks 4-8</w:t>
      </w:r>
    </w:p>
    <w:p>
      <w:pPr>
        <w:pStyle w:val="ListBullet"/>
      </w:pPr>
      <w:r>
        <w:rPr>
          <w:sz w:val="20"/>
        </w:rPr>
        <w:t>Measure &amp; Report Phase: Weeks 9-12</w:t>
      </w:r>
    </w:p>
    <w:p>
      <w:r>
        <w:rPr>
          <w:sz w:val="20"/>
        </w:rPr>
        <w:t>Key Milestones:</w:t>
      </w:r>
    </w:p>
    <w:p>
      <w:pPr>
        <w:pStyle w:val="ListBullet"/>
      </w:pPr>
      <w:r>
        <w:rPr>
          <w:sz w:val="20"/>
        </w:rPr>
        <w:t>Engagement Kick-off -- Week 1</w:t>
      </w:r>
    </w:p>
    <w:p>
      <w:pPr>
        <w:pStyle w:val="ListBullet"/>
      </w:pPr>
      <w:r>
        <w:rPr>
          <w:sz w:val="20"/>
        </w:rPr>
        <w:t>Baseline Measurement Complete -- Week 4</w:t>
      </w:r>
    </w:p>
    <w:p>
      <w:pPr>
        <w:pStyle w:val="ListBullet"/>
      </w:pPr>
      <w:r>
        <w:rPr>
          <w:sz w:val="20"/>
        </w:rPr>
        <w:t>Week 6 Interim Report (checkpoint) -- Week 6</w:t>
      </w:r>
    </w:p>
    <w:p>
      <w:pPr>
        <w:pStyle w:val="ListBullet"/>
      </w:pPr>
      <w:r>
        <w:rPr>
          <w:sz w:val="20"/>
        </w:rPr>
        <w:t>Dashboard Specification &amp; Scorecards Delivered -- Week 8</w:t>
      </w:r>
    </w:p>
    <w:p>
      <w:pPr>
        <w:pStyle w:val="ListBullet"/>
      </w:pPr>
      <w:r>
        <w:rPr>
          <w:sz w:val="20"/>
        </w:rPr>
        <w:t>Vendor Framework Delivered -- Week 10</w:t>
      </w:r>
    </w:p>
    <w:p>
      <w:pPr>
        <w:pStyle w:val="ListBullet"/>
      </w:pPr>
      <w:r>
        <w:rPr>
          <w:sz w:val="20"/>
        </w:rPr>
        <w:t>90-Day Impact Assessment &amp; Closeout -- Week 12</w:t>
      </w:r>
    </w:p>
    <w:p>
      <w:r>
        <w:rPr>
          <w:sz w:val="20"/>
        </w:rPr>
        <w:t>Pre-Engagement Path:</w:t>
      </w:r>
    </w:p>
    <w:p>
      <w:pPr>
        <w:pStyle w:val="ListBullet"/>
      </w:pPr>
      <w:r>
        <w:rPr>
          <w:sz w:val="20"/>
        </w:rPr>
        <w:t>Proposal review and feedback -- by 12 March 2026</w:t>
      </w:r>
    </w:p>
    <w:p>
      <w:pPr>
        <w:pStyle w:val="ListBullet"/>
      </w:pPr>
      <w:r>
        <w:rPr>
          <w:sz w:val="20"/>
        </w:rPr>
        <w:t>Scope alignment and commercial agreement with Katerina -- w/c 16 March 2026</w:t>
      </w:r>
    </w:p>
    <w:p>
      <w:pPr>
        <w:pStyle w:val="ListBullet"/>
      </w:pPr>
      <w:r>
        <w:rPr>
          <w:sz w:val="20"/>
        </w:rPr>
        <w:t>Data provision (Jira, Copilot telemetry, PR data) and kick-off -- w/c 23 March 2026</w:t>
      </w:r>
    </w:p>
    <w:p>
      <w:pPr>
        <w:pStyle w:val="Heading1"/>
      </w:pPr>
      <w:r>
        <w:rPr>
          <w:color w:val="1B3A5C"/>
        </w:rPr>
        <w:t>10. Pricing &amp; Payment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C"/>
          </w:tcPr>
          <w:p>
            <w:r>
              <w:rPr>
                <w:b/>
                <w:color w:val="FFFFFF"/>
                <w:sz w:val="20"/>
              </w:rPr>
              <w:t>Item</w:t>
            </w:r>
          </w:p>
        </w:tc>
        <w:tc>
          <w:tcPr>
            <w:tcW w:type="dxa" w:w="2880"/>
            <w:shd w:val="clear" w:color="auto" w:fill="1B3A5C"/>
          </w:tcPr>
          <w:p>
            <w:r>
              <w:rPr>
                <w:b/>
                <w:color w:val="FFFFFF"/>
                <w:sz w:val="20"/>
              </w:rPr>
              <w:t>Description</w:t>
            </w:r>
          </w:p>
        </w:tc>
        <w:tc>
          <w:tcPr>
            <w:tcW w:type="dxa" w:w="2880"/>
            <w:shd w:val="clear" w:color="auto" w:fill="1B3A5C"/>
          </w:tcPr>
          <w:p>
            <w:r>
              <w:rPr>
                <w:b/>
                <w:color w:val="FFFFFF"/>
                <w:sz w:val="20"/>
              </w:rPr>
              <w:t>Amount</w:t>
            </w:r>
          </w:p>
        </w:tc>
      </w:tr>
      <w:tr>
        <w:tc>
          <w:tcPr>
            <w:tcW w:type="dxa" w:w="2880"/>
          </w:tcPr>
          <w:p>
            <w:r>
              <w:rPr>
                <w:sz w:val="20"/>
              </w:rPr>
              <w:t>Engagement Fee</w:t>
            </w:r>
          </w:p>
        </w:tc>
        <w:tc>
          <w:tcPr>
            <w:tcW w:type="dxa" w:w="2880"/>
          </w:tcPr>
          <w:p>
            <w:r>
              <w:rPr>
                <w:sz w:val="20"/>
              </w:rPr>
              <w:t>Fixed-fee, 90-day AI Engineering Efficiency Program (2 workstreams, 9 deliverables + weekly reports)</w:t>
            </w:r>
          </w:p>
        </w:tc>
        <w:tc>
          <w:tcPr>
            <w:tcW w:type="dxa" w:w="2880"/>
          </w:tcPr>
          <w:p>
            <w:r>
              <w:rPr>
                <w:sz w:val="20"/>
              </w:rPr>
              <w:t>€175,000</w:t>
            </w:r>
          </w:p>
        </w:tc>
      </w:tr>
      <w:tr>
        <w:tc>
          <w:tcPr>
            <w:tcW w:type="dxa" w:w="2880"/>
          </w:tcPr>
          <w:p>
            <w:r>
              <w:rPr>
                <w:sz w:val="20"/>
              </w:rPr>
              <w:t>Expenses</w:t>
            </w:r>
          </w:p>
        </w:tc>
        <w:tc>
          <w:tcPr>
            <w:tcW w:type="dxa" w:w="2880"/>
          </w:tcPr>
          <w:p>
            <w:r>
              <w:rPr>
                <w:sz w:val="20"/>
              </w:rPr>
              <w:t>Remote delivery included. On-site visits available as strategic option (billed separately if requested)</w:t>
            </w:r>
          </w:p>
        </w:tc>
        <w:tc>
          <w:tcPr>
            <w:tcW w:type="dxa" w:w="2880"/>
          </w:tcPr>
          <w:p>
            <w:r>
              <w:rPr>
                <w:sz w:val="20"/>
              </w:rPr>
              <w:t>N/A</w:t>
            </w:r>
          </w:p>
        </w:tc>
      </w:tr>
      <w:tr>
        <w:tc>
          <w:tcPr>
            <w:tcW w:type="dxa" w:w="2880"/>
          </w:tcPr>
          <w:p>
            <w:r>
              <w:rPr>
                <w:sz w:val="20"/>
              </w:rPr>
              <w:t>Total</w:t>
            </w:r>
          </w:p>
        </w:tc>
        <w:tc>
          <w:tcPr>
            <w:tcW w:type="dxa" w:w="2880"/>
          </w:tcPr>
          <w:p>
            <w:r>
              <w:rPr>
                <w:sz w:val="20"/>
              </w:rPr>
            </w:r>
          </w:p>
        </w:tc>
        <w:tc>
          <w:tcPr>
            <w:tcW w:type="dxa" w:w="2880"/>
          </w:tcPr>
          <w:p>
            <w:r>
              <w:rPr>
                <w:sz w:val="20"/>
              </w:rPr>
              <w:t>€175,000</w:t>
            </w:r>
          </w:p>
        </w:tc>
      </w:tr>
    </w:tbl>
    <w:p/>
    <w:p>
      <w:r>
        <w:rPr>
          <w:sz w:val="20"/>
        </w:rPr>
        <w:t>Payment Schedule (Milestone-Based):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Milestone</w:t>
            </w:r>
          </w:p>
        </w:tc>
        <w:tc>
          <w:tcPr>
            <w:tcW w:type="dxa" w:w="2160"/>
            <w:shd w:val="clear" w:color="auto" w:fill="1B3A5C"/>
          </w:tcPr>
          <w:p>
            <w:r>
              <w:rPr>
                <w:b/>
                <w:color w:val="FFFFFF"/>
                <w:sz w:val="20"/>
              </w:rPr>
              <w:t>Timing</w:t>
            </w:r>
          </w:p>
        </w:tc>
        <w:tc>
          <w:tcPr>
            <w:tcW w:type="dxa" w:w="2160"/>
            <w:shd w:val="clear" w:color="auto" w:fill="1B3A5C"/>
          </w:tcPr>
          <w:p>
            <w:r>
              <w:rPr>
                <w:b/>
                <w:color w:val="FFFFFF"/>
                <w:sz w:val="20"/>
              </w:rPr>
              <w:t>Percentage</w:t>
            </w:r>
          </w:p>
        </w:tc>
        <w:tc>
          <w:tcPr>
            <w:tcW w:type="dxa" w:w="2160"/>
            <w:shd w:val="clear" w:color="auto" w:fill="1B3A5C"/>
          </w:tcPr>
          <w:p>
            <w:r>
              <w:rPr>
                <w:b/>
                <w:color w:val="FFFFFF"/>
                <w:sz w:val="20"/>
              </w:rPr>
              <w:t>Amount</w:t>
            </w:r>
          </w:p>
        </w:tc>
      </w:tr>
      <w:tr>
        <w:tc>
          <w:tcPr>
            <w:tcW w:type="dxa" w:w="2160"/>
          </w:tcPr>
          <w:p>
            <w:r>
              <w:rPr>
                <w:sz w:val="20"/>
              </w:rPr>
              <w:t>Kick-off</w:t>
            </w:r>
          </w:p>
        </w:tc>
        <w:tc>
          <w:tcPr>
            <w:tcW w:type="dxa" w:w="2160"/>
          </w:tcPr>
          <w:p>
            <w:r>
              <w:rPr>
                <w:sz w:val="20"/>
              </w:rPr>
              <w:t>Week 0</w:t>
            </w:r>
          </w:p>
        </w:tc>
        <w:tc>
          <w:tcPr>
            <w:tcW w:type="dxa" w:w="2160"/>
          </w:tcPr>
          <w:p>
            <w:r>
              <w:rPr>
                <w:sz w:val="20"/>
              </w:rPr>
              <w:t>30%</w:t>
            </w:r>
          </w:p>
        </w:tc>
        <w:tc>
          <w:tcPr>
            <w:tcW w:type="dxa" w:w="2160"/>
          </w:tcPr>
          <w:p>
            <w:r>
              <w:rPr>
                <w:sz w:val="20"/>
              </w:rPr>
              <w:t>€52,500</w:t>
            </w:r>
          </w:p>
        </w:tc>
      </w:tr>
      <w:tr>
        <w:tc>
          <w:tcPr>
            <w:tcW w:type="dxa" w:w="2160"/>
          </w:tcPr>
          <w:p>
            <w:r>
              <w:rPr>
                <w:sz w:val="20"/>
              </w:rPr>
              <w:t>Mid-point (Week 6 Interim Report)</w:t>
            </w:r>
          </w:p>
        </w:tc>
        <w:tc>
          <w:tcPr>
            <w:tcW w:type="dxa" w:w="2160"/>
          </w:tcPr>
          <w:p>
            <w:r>
              <w:rPr>
                <w:sz w:val="20"/>
              </w:rPr>
              <w:t>Week 6</w:t>
            </w:r>
          </w:p>
        </w:tc>
        <w:tc>
          <w:tcPr>
            <w:tcW w:type="dxa" w:w="2160"/>
          </w:tcPr>
          <w:p>
            <w:r>
              <w:rPr>
                <w:sz w:val="20"/>
              </w:rPr>
              <w:t>40%</w:t>
            </w:r>
          </w:p>
        </w:tc>
        <w:tc>
          <w:tcPr>
            <w:tcW w:type="dxa" w:w="2160"/>
          </w:tcPr>
          <w:p>
            <w:r>
              <w:rPr>
                <w:sz w:val="20"/>
              </w:rPr>
              <w:t>€70,000</w:t>
            </w:r>
          </w:p>
        </w:tc>
      </w:tr>
      <w:tr>
        <w:tc>
          <w:tcPr>
            <w:tcW w:type="dxa" w:w="2160"/>
          </w:tcPr>
          <w:p>
            <w:r>
              <w:rPr>
                <w:sz w:val="20"/>
              </w:rPr>
              <w:t>Completion (90-Day Impact Assessment)</w:t>
            </w:r>
          </w:p>
        </w:tc>
        <w:tc>
          <w:tcPr>
            <w:tcW w:type="dxa" w:w="2160"/>
          </w:tcPr>
          <w:p>
            <w:r>
              <w:rPr>
                <w:sz w:val="20"/>
              </w:rPr>
              <w:t>Week 12</w:t>
            </w:r>
          </w:p>
        </w:tc>
        <w:tc>
          <w:tcPr>
            <w:tcW w:type="dxa" w:w="2160"/>
          </w:tcPr>
          <w:p>
            <w:r>
              <w:rPr>
                <w:sz w:val="20"/>
              </w:rPr>
              <w:t>30%</w:t>
            </w:r>
          </w:p>
        </w:tc>
        <w:tc>
          <w:tcPr>
            <w:tcW w:type="dxa" w:w="2160"/>
          </w:tcPr>
          <w:p>
            <w:r>
              <w:rPr>
                <w:sz w:val="20"/>
              </w:rPr>
              <w:t>€52,500</w:t>
            </w:r>
          </w:p>
        </w:tc>
      </w:tr>
    </w:tbl>
    <w:p/>
    <w:p>
      <w:r>
        <w:rPr>
          <w:sz w:val="20"/>
        </w:rPr>
        <w:t>Terms: Net 30 from invoice date. Invoices issued at each milestone.</w:t>
      </w:r>
    </w:p>
    <w:p>
      <w:r>
        <w:rPr>
          <w:sz w:val="20"/>
        </w:rPr>
        <w:t>ROI Context:</w:t>
      </w:r>
    </w:p>
    <w:p>
      <w:pPr>
        <w:pStyle w:val="ListBullet"/>
      </w:pPr>
      <w:r>
        <w:rPr>
          <w:sz w:val="20"/>
        </w:rPr>
        <w:t>Projected Q1 ROI: 1.5x-2.5x based on 3-5% efficiency improvement</w:t>
      </w:r>
    </w:p>
    <w:p>
      <w:pPr>
        <w:pStyle w:val="ListBullet"/>
      </w:pPr>
      <w:r>
        <w:rPr>
          <w:sz w:val="20"/>
        </w:rPr>
        <w:t>Against approximately €9M in-house developer cost base</w:t>
      </w:r>
    </w:p>
    <w:p>
      <w:pPr>
        <w:pStyle w:val="ListBullet"/>
      </w:pPr>
      <w:r>
        <w:rPr>
          <w:sz w:val="20"/>
        </w:rPr>
        <w:t>Result: €261K-€435K in capacity redirected (in-house; outsourced gains additional)</w:t>
      </w:r>
    </w:p>
    <w:p>
      <w:pPr>
        <w:pStyle w:val="Heading1"/>
      </w:pPr>
      <w:r>
        <w:rPr>
          <w:color w:val="1B3A5C"/>
        </w:rPr>
        <w:t>11. Terms &amp; Conditions</w:t>
      </w:r>
    </w:p>
    <w:p>
      <w:pPr>
        <w:pStyle w:val="Heading2"/>
      </w:pPr>
      <w:r>
        <w:t>Confidentiality</w:t>
      </w:r>
    </w:p>
    <w:p>
      <w:r>
        <w:rPr>
          <w:sz w:val="20"/>
        </w:rPr>
        <w:t>Both parties agree to maintain the confidentiality of all proprietary and sensitive information shared during this engagement. Neither party will disclose confidential information to third parties without prior written consent, except as required by law.</w:t>
      </w:r>
    </w:p>
    <w:p>
      <w:pPr>
        <w:pStyle w:val="Heading2"/>
      </w:pPr>
      <w:r>
        <w:t>Intellectual Property &amp; Work Product</w:t>
      </w:r>
    </w:p>
    <w:p>
      <w:r>
        <w:rPr>
          <w:sz w:val="20"/>
        </w:rPr>
        <w:t>All deliverables and work product created specifically for TBI Bank during this engagement become the property of TBI Bank upon payment in full. Yelin.io retains ownership of pre-existing methodologies, frameworks, and tools. TBI Bank receives a perpetual, non-exclusive license to use any Yelin.io pre-existing IP incorporated into deliverables.</w:t>
      </w:r>
    </w:p>
    <w:p>
      <w:pPr>
        <w:pStyle w:val="Heading2"/>
      </w:pPr>
      <w:r>
        <w:t>Limitation of Liability</w:t>
      </w:r>
    </w:p>
    <w:p>
      <w:r>
        <w:rPr>
          <w:sz w:val="20"/>
        </w:rPr>
        <w:t>Yelin.io's total liability under this SoW shall not exceed the total fees paid by TBI Bank for the engagement. Neither party shall be liable for indirect, incidental, or consequential damages.</w:t>
      </w:r>
    </w:p>
    <w:p>
      <w:pPr>
        <w:pStyle w:val="Heading2"/>
      </w:pPr>
      <w:r>
        <w:t>Termination</w:t>
      </w:r>
    </w:p>
    <w:p>
      <w:r>
        <w:rPr>
          <w:sz w:val="20"/>
        </w:rPr>
        <w:t>Either party may terminate this SoW with thirty (30) days written notice. In the event of termination, TBI Bank will pay Yelin.io for all work completed through the termination date.</w:t>
      </w:r>
    </w:p>
    <w:p>
      <w:r>
        <w:br w:type="page"/>
      </w:r>
    </w:p>
    <w:p>
      <w:pPr>
        <w:pStyle w:val="Heading1"/>
      </w:pPr>
      <w:r>
        <w:rPr>
          <w:color w:val="1B3A5C"/>
        </w:rPr>
        <w:t>Appendix A: Change Request Process</w:t>
      </w:r>
    </w:p>
    <w:p>
      <w:r>
        <w:rPr>
          <w:sz w:val="20"/>
        </w:rPr>
        <w:t>In the event of a material change to the Statement of Work, Yelin.io may issue a change request. A material change may consist of:</w:t>
      </w:r>
    </w:p>
    <w:p>
      <w:pPr>
        <w:pStyle w:val="ListBullet"/>
      </w:pPr>
      <w:r>
        <w:rPr>
          <w:sz w:val="20"/>
        </w:rPr>
        <w:t>A substantial change to the scope of the project</w:t>
      </w:r>
    </w:p>
    <w:p>
      <w:pPr>
        <w:pStyle w:val="ListBullet"/>
      </w:pPr>
      <w:r>
        <w:rPr>
          <w:sz w:val="20"/>
        </w:rPr>
        <w:t>An extension of the project timeline</w:t>
      </w:r>
    </w:p>
    <w:p>
      <w:pPr>
        <w:pStyle w:val="ListBullet"/>
      </w:pPr>
      <w:r>
        <w:rPr>
          <w:sz w:val="20"/>
        </w:rPr>
        <w:t>Additional resources not originally outlined in this SoW</w:t>
      </w:r>
    </w:p>
    <w:p>
      <w:r>
        <w:rPr>
          <w:sz w:val="20"/>
        </w:rPr>
        <w:t>Yelin.io will follow the process outlined below:</w:t>
      </w:r>
    </w:p>
    <w:p>
      <w:pPr>
        <w:pStyle w:val="ListBullet"/>
      </w:pPr>
      <w:r>
        <w:rPr>
          <w:sz w:val="20"/>
        </w:rPr>
        <w:t>1. Yelin.io will notify TBI Bank's project lead of a potential change request.</w:t>
      </w:r>
    </w:p>
    <w:p>
      <w:pPr>
        <w:pStyle w:val="ListBullet"/>
      </w:pPr>
      <w:r>
        <w:rPr>
          <w:sz w:val="20"/>
        </w:rPr>
        <w:t>2. Yelin.io will meet with TBI Bank to discuss the requirements and impact.</w:t>
      </w:r>
    </w:p>
    <w:p>
      <w:pPr>
        <w:pStyle w:val="ListBullet"/>
      </w:pPr>
      <w:r>
        <w:rPr>
          <w:sz w:val="20"/>
        </w:rPr>
        <w:t>3. Yelin.io will provide a level of effort and associated cost estimate.</w:t>
      </w:r>
    </w:p>
    <w:p>
      <w:pPr>
        <w:pStyle w:val="ListBullet"/>
      </w:pPr>
      <w:r>
        <w:rPr>
          <w:sz w:val="20"/>
        </w:rPr>
        <w:t>4. Yelin.io will obtain sign-off from TBI Bank's executive sponsor before any additional work begins.</w:t>
      </w:r>
    </w:p>
    <w:p/>
    <w:p/>
    <w:tbl>
      <w:tblPr>
        <w:tblStyle w:val="TableGrid"/>
        <w:tblW w:type="auto" w:w="0"/>
        <w:tblLook w:firstColumn="1" w:firstRow="1" w:lastColumn="0" w:lastRow="0" w:noHBand="0" w:noVBand="1" w:val="04A0"/>
      </w:tblPr>
      <w:tblGrid>
        <w:gridCol w:w="4320"/>
        <w:gridCol w:w="4320"/>
      </w:tblGrid>
      <w:tr>
        <w:tc>
          <w:tcPr>
            <w:tcW w:type="dxa" w:w="4320"/>
            <w:shd w:val="clear" w:color="auto" w:fill="1B3A5C"/>
          </w:tcPr>
          <w:p>
            <w:r>
              <w:rPr>
                <w:b/>
                <w:color w:val="FFFFFF"/>
                <w:sz w:val="20"/>
              </w:rPr>
              <w:t>Yelin.io</w:t>
            </w:r>
          </w:p>
        </w:tc>
        <w:tc>
          <w:tcPr>
            <w:tcW w:type="dxa" w:w="4320"/>
            <w:shd w:val="clear" w:color="auto" w:fill="1B3A5C"/>
          </w:tcPr>
          <w:p>
            <w:r>
              <w:rPr>
                <w:b/>
                <w:color w:val="FFFFFF"/>
                <w:sz w:val="20"/>
              </w:rPr>
              <w:t>TBI Bank</w:t>
            </w:r>
          </w:p>
        </w:tc>
      </w:tr>
      <w:tr>
        <w:tc>
          <w:tcPr>
            <w:tcW w:type="dxa" w:w="4320"/>
          </w:tcPr>
          <w:p>
            <w:r>
              <w:t>Signature: ____________________</w:t>
            </w:r>
          </w:p>
        </w:tc>
        <w:tc>
          <w:tcPr>
            <w:tcW w:type="dxa" w:w="4320"/>
          </w:tcPr>
          <w:p>
            <w:r>
              <w:t>Signature: ____________________</w:t>
            </w:r>
          </w:p>
        </w:tc>
      </w:tr>
      <w:tr>
        <w:tc>
          <w:tcPr>
            <w:tcW w:type="dxa" w:w="4320"/>
          </w:tcPr>
          <w:p>
            <w:r>
              <w:t>Name: ____________________</w:t>
            </w:r>
          </w:p>
        </w:tc>
        <w:tc>
          <w:tcPr>
            <w:tcW w:type="dxa" w:w="4320"/>
          </w:tcPr>
          <w:p>
            <w:r>
              <w:t>Name: ____________________</w:t>
            </w:r>
          </w:p>
        </w:tc>
      </w:tr>
      <w:tr>
        <w:tc>
          <w:tcPr>
            <w:tcW w:type="dxa" w:w="4320"/>
          </w:tcPr>
          <w:p>
            <w:r>
              <w:t>Date: ____________________</w:t>
            </w:r>
          </w:p>
        </w:tc>
        <w:tc>
          <w:tcPr>
            <w:tcW w:type="dxa" w:w="4320"/>
          </w:tcPr>
          <w:p>
            <w:r>
              <w:t>Date: 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