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АгроПорт</w:t>
      </w:r>
    </w:p>
    <w:p>
      <w:pPr>
        <w:jc w:val="center"/>
      </w:pPr>
      <w:r>
        <w:rPr>
          <w:sz w:val="24"/>
        </w:rPr>
        <w:t>Пакет материалов к заявке на статус участника проекта «Сколково»</w:t>
        <w:br/>
        <w:t>Кластер: [ЗАПОЛНИТЬ: кластер / направление] · Заявитель: ООО «МАТ-Лабс»</w:t>
        <w:br/>
        <w:t>Версия: октябрь 2026</w:t>
      </w:r>
    </w:p>
    <w:p>
      <w:r>
        <w:rPr>
          <w:b w:val="0"/>
        </w:rPr>
        <w:t xml:space="preserve">Документ подготовлен на основе фактического состояния продукта. Все показатели точности рассчитаны автоматически на открытых данных и воспроизводимы (страница agroport-ai.ru/tech). Поля, отмеченные </w:t>
      </w:r>
      <w:r>
        <w:rPr>
          <w:b/>
          <w:color w:val="C62828"/>
        </w:rPr>
        <w:t>[ЗАПОЛНИТЬ]</w:t>
      </w:r>
      <w:r>
        <w:t>, требуют данных заявителя — они не могут быть получены из кода и баз продукта.</w:t>
      </w:r>
    </w:p>
    <w:p>
      <w:pPr>
        <w:pStyle w:val="Heading1"/>
      </w:pPr>
      <w:r>
        <w:t>1. Описание R&amp;D-проекта</w:t>
      </w:r>
    </w:p>
    <w:p>
      <w:pPr>
        <w:pStyle w:val="Heading2"/>
      </w:pPr>
      <w:r>
        <w:t>1.1. Наименование</w:t>
      </w:r>
    </w:p>
    <w:p>
      <w:r>
        <w:rPr>
          <w:b w:val="0"/>
        </w:rPr>
        <w:t>Разработка метода краткосрочного прогнозирования цен производителей на зерновые и масличные культуры в РФ с объединением открытой государственной статистики, мировых цен и рыночных данных, с публичной процедурой проверки точности.</w:t>
      </w:r>
    </w:p>
    <w:p>
      <w:pPr>
        <w:pStyle w:val="Heading2"/>
      </w:pPr>
      <w:r>
        <w:t>1.2. Проблема</w:t>
      </w:r>
    </w:p>
    <w:p>
      <w:r>
        <w:rPr>
          <w:b w:val="0"/>
        </w:rPr>
        <w:t>Сельхозпроизводители принимают решение о сроках реализации урожая в условиях высокой волатильности цен: на отложенном периоде 2020–2026 гг. средняя месячная ошибка прогноза «цена не изменится» по пшенице составляет около 3%, на горизонте 6 месяцев — более 11%, по подсолнечнику — до 20%. Доступные фермеру инструменты либо дают точечные мнения аналитиков без измеренной точности, либо стоят как корпоративные терминалы. Отдельная проблема — непрозрачность: в отрасли распространены заявления о «точности ИИ» без указания методики проверки.</w:t>
      </w:r>
    </w:p>
    <w:p>
      <w:pPr>
        <w:pStyle w:val="Heading2"/>
      </w:pPr>
      <w:r>
        <w:t>1.3. Цель и задачи</w:t>
      </w:r>
    </w:p>
    <w:p>
      <w:r>
        <w:rPr>
          <w:b w:val="0"/>
        </w:rPr>
        <w:t>Цель — создать воспроизводимый метод прогноза цены производителя на 1–6 месяцев с интервалом неопределённости и измеренным приростом точности относительно базовых ориентиров, доступный малым и средним хозяйствам.</w:t>
      </w:r>
    </w:p>
    <w:p>
      <w:pPr>
        <w:pStyle w:val="ListBullet"/>
      </w:pPr>
      <w:r>
        <w:rPr>
          <w:b w:val="0"/>
        </w:rPr>
        <w:t>Сформировать непрерывные помесячные ряды цен производителей по РФ (выполнено: 2008–2026 гг., Росстат ЕМИСС и публикации Росстата).</w:t>
      </w:r>
    </w:p>
    <w:p>
      <w:pPr>
        <w:pStyle w:val="ListBullet"/>
      </w:pPr>
      <w:r>
        <w:rPr>
          <w:b w:val="0"/>
        </w:rPr>
        <w:t>Разработать модель, учитывающую трансмиссию мировых цен через курс рубля и отклонение внутренней цены от экспортного паритета (выполнено: базовая версия).</w:t>
      </w:r>
    </w:p>
    <w:p>
      <w:pPr>
        <w:pStyle w:val="ListBullet"/>
      </w:pPr>
      <w:r>
        <w:rPr>
          <w:b w:val="0"/>
        </w:rPr>
        <w:t>Внедрить строгую процедуру проверки: подбор параметров и оценка на разных периодах, скользящее окно без заглядывания в будущее, сравнение с базовым ориентиром (выполнено).</w:t>
      </w:r>
    </w:p>
    <w:p>
      <w:pPr>
        <w:pStyle w:val="ListBullet"/>
      </w:pPr>
      <w:r>
        <w:rPr>
          <w:b w:val="0"/>
        </w:rPr>
        <w:t>Исследовать влияние экспортных пошлин и квот на внутренние цены и включить их в модель (план).</w:t>
      </w:r>
    </w:p>
    <w:p>
      <w:pPr>
        <w:pStyle w:val="ListBullet"/>
      </w:pPr>
      <w:r>
        <w:rPr>
          <w:b w:val="0"/>
        </w:rPr>
        <w:t>Перейти к региональным рядам и прогнозу на уровне субъекта РФ (план).</w:t>
      </w:r>
    </w:p>
    <w:p>
      <w:pPr>
        <w:pStyle w:val="ListBullet"/>
      </w:pPr>
      <w:r>
        <w:rPr>
          <w:b w:val="0"/>
        </w:rPr>
        <w:t>Разработать модуль NDVI по контуру поля по снимкам Sentinel-2 и прогноз урожайности (план).</w:t>
      </w:r>
    </w:p>
    <w:p>
      <w:pPr>
        <w:pStyle w:val="Heading2"/>
      </w:pPr>
      <w:r>
        <w:t>1.4. Текущее состояние (TRL)</w:t>
      </w:r>
    </w:p>
    <w:p>
      <w:r>
        <w:rPr>
          <w:b w:val="0"/>
        </w:rPr>
        <w:t xml:space="preserve">Работающий прототип в реальной среде: модель развёрнута, прогнозы и метрики доступны на сайте agroport-ai.ru. Оценка уровня готовности технологии: </w:t>
      </w:r>
      <w:r>
        <w:rPr>
          <w:b/>
          <w:color w:val="C62828"/>
        </w:rPr>
        <w:t>[ЗАПОЛНИТЬ: TRL по методике фонда, ориентировочно 4–5]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Прогноз цен (3 культуры, 1/3/6 мес)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Работает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Открытые данные, проверка на истории, интервалы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Сбор котировок с отраслевых сайтов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Частично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Накопление в БД включено; часть источников не отдаёт цены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Лента новостей АПК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Работает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RSS, накопление в БД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База хозяйств и CRM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Работает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2 864 карточки хозяйств, обогащение по ЕГРЮЛ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Маркетплейс объявлений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Частично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Публикация и модерация; сделок и оплаты нет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NDVI по Sentinel-2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В разработке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Сейчас демонстрационный модуль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Прогноз урожайности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В разработке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Есть история 2019–2024 по регионам</w:t>
            </w:r>
          </w:p>
        </w:tc>
      </w:tr>
    </w:tbl>
    <w:p/>
    <w:p>
      <w:pPr>
        <w:pStyle w:val="Heading1"/>
      </w:pPr>
      <w:r>
        <w:t>2. Научная новизна и технологические риски</w:t>
      </w:r>
    </w:p>
    <w:p>
      <w:pPr>
        <w:pStyle w:val="ListBullet"/>
      </w:pPr>
      <w:r>
        <w:rPr>
          <w:b w:val="0"/>
        </w:rPr>
        <w:t>Совместное моделирование внутренней цены производителя и мировой цены в рублях через спред к экспортному паритету: для внутреннего рынка РФ с экспортными пошлинами эта связь нестационарна, и метод её учёта — предмет исследования.</w:t>
      </w:r>
    </w:p>
    <w:p>
      <w:pPr>
        <w:pStyle w:val="ListBullet"/>
      </w:pPr>
      <w:r>
        <w:rPr>
          <w:b w:val="0"/>
        </w:rPr>
        <w:t>Публичная протокольная проверка точности: фиксированные периоды валидации и теста, скользящее окно, сравнение с ориентиром, интервалы по эмпирическому распределению ошибок. Метрики пересчитываются сервером и версионируются.</w:t>
      </w:r>
    </w:p>
    <w:p>
      <w:pPr>
        <w:pStyle w:val="ListBullet"/>
      </w:pPr>
      <w:r>
        <w:rPr>
          <w:b w:val="0"/>
        </w:rPr>
        <w:t>Адаптивное «доверие к сигналу»: вес модели относительно ориентира подбирается на валидации, что защищает пользователя от прогнозов хуже простого правила.</w:t>
      </w:r>
    </w:p>
    <w:p>
      <w:pPr>
        <w:pStyle w:val="ListBullet"/>
      </w:pPr>
      <w:r>
        <w:rPr>
          <w:b w:val="0"/>
        </w:rPr>
        <w:t>План: учёт регуляторных факторов (плавающая экспортная пошлина, квоты) как наблюдаемых переменных режима рынка.</w:t>
      </w:r>
    </w:p>
    <w:p>
      <w:r>
        <w:rPr>
          <w:b/>
        </w:rPr>
        <w:t>Технологические риски, честно выявленные на текущем этапе:</w:t>
      </w:r>
    </w:p>
    <w:p>
      <w:pPr>
        <w:pStyle w:val="ListBullet"/>
      </w:pPr>
      <w:r>
        <w:rPr>
          <w:b w:val="0"/>
        </w:rPr>
        <w:t>На ряде горизонтов (пшеница 3–6 мес, кукуруза 1–3 мес) модель пока не превосходит ориентир — гипотеза о влиянии пошлин требует проверки.</w:t>
      </w:r>
    </w:p>
    <w:p>
      <w:pPr>
        <w:pStyle w:val="ListBullet"/>
      </w:pPr>
      <w:r>
        <w:rPr>
          <w:b w:val="0"/>
        </w:rPr>
        <w:t>Короткая история после смены регуляторного режима (с 2021 г.) ограничивает объём обучающей выборки.</w:t>
      </w:r>
    </w:p>
    <w:p>
      <w:pPr>
        <w:pStyle w:val="ListBullet"/>
      </w:pPr>
      <w:r>
        <w:rPr>
          <w:b w:val="0"/>
        </w:rPr>
        <w:t>Публикации Росстата выходят с лагом 1–2 месяца; для оперативного прогноза нужны рыночные котировки, которые сейчас собираются не полностью.</w:t>
      </w:r>
    </w:p>
    <w:p>
      <w:pPr>
        <w:pStyle w:val="Heading2"/>
      </w:pPr>
      <w:r>
        <w:t>2.1. Метрики на отложенном периоде (рассчитаны автоматически)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b/>
                <w:sz w:val="18"/>
              </w:rPr>
              <w:t>Культура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Горизонт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MAPE модели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MAPE ориентира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Улучшение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Прогнозов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Пшеница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3.34%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3.38%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+1.1%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58.2%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Пшеница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9.05%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8.22%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-10.0%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58.4%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Пшеница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14.18%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11.63%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-21.9%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47.3%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Кукуруза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5.45%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4.65%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-17.1%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57.0%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Кукуруза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10.53%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9.41%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-11.9%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62.3%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Кукуруза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14.22%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14.47%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+1.8%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63.5%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Подсолнечник (семена)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5.25%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+12.6%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73.4%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Подсолнечник (семена)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12.37%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13.77%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+10.1%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71.4%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Подсолнечник (семена)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 мес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20.46%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20.46%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+0.0%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74</w:t>
            </w:r>
          </w:p>
        </w:tc>
      </w:tr>
    </w:tbl>
    <w:p/>
    <w:p>
      <w:r>
        <w:rPr>
          <w:b w:val="0"/>
        </w:rPr>
        <w:t>MAPE — средняя абсолютная ошибка в процентах. Ориентир — прогноз «цена не изменится». Подбор параметров: 2012–2019, оценка: 2020 — последние данные. Источники: Росстат (ЕМИСС 31454, 57693; публикация «Средние цены производителей сельхозпродукции»), Всемирный банк (Pink Sheet), Банк России.</w:t>
      </w:r>
    </w:p>
    <w:p>
      <w:pPr>
        <w:pStyle w:val="Heading1"/>
      </w:pPr>
      <w:r>
        <w:t>3. Дорожная карта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Результат / критерий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Проверяемый прогноз цен по 3 культурам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Модель, метрики, страница методики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Выполнено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Регуляторные факторы, региональные ряды, сравнение с SARIMA и бустингом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Улучшение к ориентиру на всех горизонтах [ЗАПОЛНИТЬ: целевое значение]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NDVI по контуру поля (Sentinel-2)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Расчёт NDVI для поля пользователя, история за сезоны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Прогноз урожайности по погоде и NDVI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Метрика на отложенных сезонах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Коммерческий запуск подписки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[ЗАПОЛНИТЬ: число платящих хозяйств]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</w:tbl>
    <w:p/>
    <w:p>
      <w:pPr>
        <w:pStyle w:val="Heading1"/>
      </w:pPr>
      <w:r>
        <w:t>4. Бюджет R&amp;D</w:t>
      </w:r>
    </w:p>
    <w:p>
      <w:r>
        <w:rPr>
          <w:b w:val="0"/>
        </w:rPr>
        <w:t>Структура бюджета предложена по типовым статьям; суммы указывает заявитель.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Этап 2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Этап 3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Этап 4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Фонд оплаты труда исследователей и разработчиков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Данные (спутниковые сервисы, платные рыночные данные)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Вычислительная инфраструктура и хостинг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Полевая валидация с хозяйствами-партнёрами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Регистрация ПО и РИД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Итого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1994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</w:tbl>
    <w:p/>
    <w:p>
      <w:r>
        <w:rPr>
          <w:b w:val="0"/>
        </w:rPr>
        <w:t xml:space="preserve">Источники финансирования: </w:t>
      </w:r>
      <w:r>
        <w:rPr>
          <w:b/>
          <w:color w:val="C62828"/>
        </w:rPr>
        <w:t>[ЗАПОЛНИТЬ: собственные средства, гранты, инвестиции]</w:t>
      </w:r>
      <w:r>
        <w:t>.</w:t>
      </w:r>
    </w:p>
    <w:p>
      <w:pPr>
        <w:pStyle w:val="Heading1"/>
      </w:pPr>
      <w:r>
        <w:t>5. План коммерциализации</w:t>
      </w:r>
    </w:p>
    <w:p>
      <w:pPr>
        <w:pStyle w:val="Heading2"/>
      </w:pPr>
      <w:r>
        <w:t>5.1. Сегменты и ценность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Что даёт продукт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Средние и малые хозяйства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Когда продавать урожай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Прогноз цены с интервалом и измеренной точностью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Трейдеры и переработчики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Закупка у хозяйств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База хозяйств, рейтинг перспективности, CRM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Банки, страховщики, лизинг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Оценка рисков заёмщика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Ценовые сценарии, в перспективе — NDVI поля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Органы власти АПК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Мониторинг рынка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Сводная аналитика по регионам</w:t>
            </w:r>
          </w:p>
        </w:tc>
      </w:tr>
    </w:tbl>
    <w:p/>
    <w:p>
      <w:pPr>
        <w:pStyle w:val="Heading2"/>
      </w:pPr>
      <w:r>
        <w:t>5.2. Модель монетизации</w:t>
      </w:r>
    </w:p>
    <w:p>
      <w:r>
        <w:rPr>
          <w:b w:val="0"/>
        </w:rPr>
        <w:t>На сайте опубликованы тарифы: базовый — бесплатно, «Профессионал» — 1 490 ₽/мес, «Корпоративный» — 8 900 ₽/мес, а также пакеты данных по API. Цены являются гипотезой и требуют проверки на первых клиентах.</w:t>
      </w:r>
    </w:p>
    <w:p>
      <w:pPr>
        <w:pStyle w:val="Heading2"/>
      </w:pPr>
      <w:r>
        <w:t>5.3. Текущие показатели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Зарегистрированные пользователи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3 (данные системы на 01.10.2026)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Хозяйств в базе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2 864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Платящие клиенты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Выручка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Пилоты / письма поддержки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</w:tbl>
    <w:p/>
    <w:p>
      <w:pPr>
        <w:pStyle w:val="Heading2"/>
      </w:pPr>
      <w:r>
        <w:t>5.4. Каналы и рынок</w:t>
      </w:r>
    </w:p>
    <w:p>
      <w:pPr>
        <w:pStyle w:val="ListBullet"/>
      </w:pPr>
      <w:r>
        <w:rPr>
          <w:b w:val="0"/>
        </w:rPr>
        <w:t>Прямые продажи хозяйствам из собственной базы (2 864 контакта) через CRM и рассылки.</w:t>
      </w:r>
    </w:p>
    <w:p>
      <w:pPr>
        <w:pStyle w:val="ListBullet"/>
      </w:pPr>
      <w:r>
        <w:rPr>
          <w:b w:val="0"/>
        </w:rPr>
        <w:t xml:space="preserve">Партнёрства с банками и дистрибьюторами СЗР — </w:t>
      </w:r>
      <w:r>
        <w:rPr>
          <w:b/>
          <w:color w:val="C62828"/>
        </w:rPr>
        <w:t>[ЗАПОЛНИТЬ: переговоры, если есть]</w:t>
      </w:r>
      <w:r>
        <w:t>.</w:t>
      </w:r>
    </w:p>
    <w:p>
      <w:pPr>
        <w:pStyle w:val="ListBullet"/>
      </w:pPr>
      <w:r>
        <w:rPr>
          <w:b w:val="0"/>
        </w:rPr>
        <w:t xml:space="preserve">Объём рынка (TAM/SAM/SOM): </w:t>
      </w:r>
      <w:r>
        <w:rPr>
          <w:b/>
          <w:color w:val="C62828"/>
        </w:rPr>
        <w:t>[ЗАПОЛНИТЬ: с указанием источников]</w:t>
      </w:r>
      <w:r>
        <w:t>.</w:t>
      </w:r>
    </w:p>
    <w:p>
      <w:r>
        <w:rPr>
          <w:b w:val="0"/>
        </w:rPr>
        <w:t xml:space="preserve">Конкуренты: </w:t>
      </w:r>
      <w:r>
        <w:rPr>
          <w:b/>
          <w:color w:val="C62828"/>
        </w:rPr>
        <w:t>[ЗАПОЛНИТЬ: перечень и сравнение по цене, точности, доступности для малых хозяйств]</w:t>
      </w:r>
      <w:r>
        <w:t>.</w:t>
      </w:r>
    </w:p>
    <w:p>
      <w:pPr>
        <w:pStyle w:val="Heading1"/>
      </w:pPr>
      <w:r>
        <w:t>6. Команда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Роль в проекте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Опыт и квалификация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Занятость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  <w:tc>
          <w:tcPr>
            <w:tcW w:type="dxa" w:w="2493"/>
          </w:tcPr>
          <w:p>
            <w:r/>
            <w:r>
              <w:rPr>
                <w:b/>
                <w:color w:val="C62828"/>
                <w:sz w:val="18"/>
              </w:rPr>
              <w:t>[ЗАПОЛНИТЬ]</w:t>
            </w:r>
          </w:p>
        </w:tc>
      </w:tr>
    </w:tbl>
    <w:p/>
    <w:p>
      <w:pPr>
        <w:pStyle w:val="Heading1"/>
      </w:pPr>
      <w:r>
        <w:t>7. Интеллектуальная собственность</w:t>
      </w:r>
    </w:p>
    <w:p>
      <w:r>
        <w:rPr>
          <w:b w:val="0"/>
        </w:rPr>
      </w:r>
      <w:r>
        <w:rPr>
          <w:b/>
          <w:color w:val="C62828"/>
        </w:rPr>
        <w:t>[ЗАПОЛНИТЬ: планируемая регистрация программы для ЭВМ / базы данных, ноу-хау метода проверки]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