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 w:val="0"/>
          <w:i w:val="0"/>
        </w:rPr>
        <w:t>УТВЕРЖДЕНО</w:t>
      </w:r>
    </w:p>
    <w:p>
      <w:pPr>
        <w:spacing w:after="0"/>
        <w:jc w:val="left"/>
      </w:pPr>
      <w:r>
        <w:rPr>
          <w:b w:val="0"/>
          <w:i w:val="0"/>
        </w:rPr>
        <w:t>Приказом ООО «Альфа Альянс»</w:t>
      </w:r>
    </w:p>
    <w:p>
      <w:pPr>
        <w:spacing w:after="280"/>
        <w:jc w:val="left"/>
      </w:pPr>
      <w:r>
        <w:rPr>
          <w:b w:val="0"/>
          <w:i w:val="0"/>
        </w:rPr>
        <w:t>№ ____ от «___» __________ 20___ г.</w:t>
      </w:r>
    </w:p>
    <w:p>
      <w:pPr>
        <w:spacing w:before="240" w:after="160"/>
        <w:jc w:val="center"/>
      </w:pPr>
      <w:r>
        <w:rPr>
          <w:b/>
          <w:sz w:val="28"/>
        </w:rPr>
        <w:t>ПОЛОЖЕНИЕ</w:t>
        <w:br/>
        <w:t>об обработке и защите персональных данных</w:t>
        <w:br/>
        <w:t>ООО «Альфа Альянс»</w:t>
      </w:r>
    </w:p>
    <w:p>
      <w:pPr>
        <w:spacing w:before="240" w:after="80"/>
        <w:jc w:val="left"/>
      </w:pPr>
      <w:r>
        <w:rPr>
          <w:b/>
          <w:sz w:val="26"/>
        </w:rPr>
        <w:t>1. Общие положения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Настоящее Положение определяет порядок обработки и защиты персональных данных в Общество с ограниченной ответственностью «Альфа Альянс» (ИНН 2465302921, КПП 246501001, ОГРН 1132468063331, адрес: 660077, Красноярский край, г. Красноярск, ул. Батурина, д. 38, кв. 23) и разработано в соответствии с Федеральным законом от 27.07.2006 № 152-ФЗ «О персональных данных» и принятыми в его исполнение подзаконными актами.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Положение является локальным нормативным актом, обязательным для исполнения всеми работниками Общества, имеющими доступ к персональным данным.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Понятия, используемые в Положении, применяются в значениях, определённых статьёй 3 Федерального закона № 152-ФЗ.</w:t>
      </w:r>
    </w:p>
    <w:p>
      <w:pPr>
        <w:spacing w:before="240" w:after="80"/>
        <w:jc w:val="left"/>
      </w:pPr>
      <w:r>
        <w:rPr>
          <w:b/>
          <w:sz w:val="26"/>
        </w:rPr>
        <w:t>2. Принципы и цели обработки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Обработка осуществляется на законной и справедливой основе, ограничивается достижением конкретных, заранее определённых и законных целей.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Обрабатываются только те персональные данные, которые отвечают целям обработки; их содержание и объём не являются избыточными.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Цели обработки: рассмотрение заявок и обращений с сайта; консультирование и подготовка коммерческих предложений; заключение и исполнение договоров; ведение бухгалтерского и налогового учёта.</w:t>
      </w:r>
    </w:p>
    <w:p>
      <w:pPr>
        <w:spacing w:before="240" w:after="80"/>
        <w:jc w:val="left"/>
      </w:pPr>
      <w:r>
        <w:rPr>
          <w:b/>
          <w:sz w:val="26"/>
        </w:rPr>
        <w:t>3. Категории субъектов и обрабатываемых данных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Субъекты: клиенты и потенциальные клиенты, посетители сайта, представители контрагентов, работники Общества.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Обрабатываемые данные посетителей сайта: фамилия и имя, номер телефона, адрес электронной почты, содержание обращения, а также обезличенные технические данные (IP-адрес, cookie, сведения о браузере).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Специальные категории персональных данных и биометрические персональные данные Обществом не обрабатываются.</w:t>
      </w:r>
    </w:p>
    <w:p>
      <w:pPr>
        <w:spacing w:before="240" w:after="80"/>
        <w:jc w:val="left"/>
      </w:pPr>
      <w:r>
        <w:rPr>
          <w:b/>
          <w:sz w:val="26"/>
        </w:rPr>
        <w:t>4. Порядок получения согласия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Согласие субъекта на обработку персональных данных при использовании сайта оформляется путём проставления отметки в специальном поле формы, не заполненном по умолчанию, с одновременным предоставлением доступа к тексту согласия и Политике обработки персональных данных.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Факт предоставления согласия фиксируется в информационной системе с указанием даты, времени и IP-адреса и хранится как подтверждение волеизъявления субъекта.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Согласие может быть отозвано субъектом в любой момент путём направления уведомления в письменной форме или на адрес электронной почты Общества.</w:t>
      </w:r>
    </w:p>
    <w:p>
      <w:pPr>
        <w:spacing w:before="240" w:after="80"/>
        <w:jc w:val="left"/>
      </w:pPr>
      <w:r>
        <w:rPr>
          <w:b/>
          <w:sz w:val="26"/>
        </w:rPr>
        <w:t>5. Сроки хранения и уничтожение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Персональные данные, полученные из форм обратной связи, хранятся не более 1 (одного) года с даты последнего взаимодействия с субъектом.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Персональные данные, связанные с исполнением договора, хранятся в течение срока действия договора и 5 (пяти) лет после его исполнения.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 достижении целей обработки, истечении срока хранения или при отзыве согласия персональные данные подлежат уничтожению в срок, не превышающий 30 дней, с составлением акта об уничтожении по установленной форме.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Уничтожение данных в электронном виде производится путём удаления из информационной системы и резервных копий способом, исключающим восстановление.</w:t>
      </w:r>
    </w:p>
    <w:p>
      <w:pPr>
        <w:spacing w:before="240" w:after="80"/>
        <w:jc w:val="left"/>
      </w:pPr>
      <w:r>
        <w:rPr>
          <w:b/>
          <w:sz w:val="26"/>
        </w:rPr>
        <w:t>6. Передача данных третьим лицам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Передача персональных данных третьим лицам осуществляется исключительно на основании договора поручения обработки, содержащего перечень действий, цели обработки, обязанность соблюдать конфиденциальность и требования к защите данных (ч. 3 ст. 6 ФЗ № 152-ФЗ).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Обработка по поручению Общества осуществляется провайдером хостинга и техническим исполнителем, обеспечивающим работу сайта.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Передача данных в маркетинговых целях третьим лицам не осуществляется. Трансграничная передача не осуществляется.</w:t>
      </w:r>
    </w:p>
    <w:p>
      <w:pPr>
        <w:spacing w:before="240" w:after="80"/>
        <w:jc w:val="left"/>
      </w:pPr>
      <w:r>
        <w:rPr>
          <w:b/>
          <w:sz w:val="26"/>
        </w:rPr>
        <w:t>7. Меры по обеспечению безопасности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Назначено лицо, ответственное за организацию обработки персональных данных.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Определён перечень работников, допущенных к обработке персональных данных; доступ предоставляется в объёме, необходимом для исполнения должностных обязанностей.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Применяются: разграничение прав доступа, парольная защита, передача данных по защищённому протоколу HTTPS, резервное копирование, антивирусная защита, учёт машинных носителей.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Проводится внутренний контроль соответствия обработки требованиям законодательства не реже одного раза в год.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Работники, допущенные к обработке, ознакомлены с настоящим Положением под роспись и предупреждены об ответственности за его нарушение.</w:t>
      </w:r>
    </w:p>
    <w:p>
      <w:pPr>
        <w:spacing w:before="240" w:after="80"/>
        <w:jc w:val="left"/>
      </w:pPr>
      <w:r>
        <w:rPr>
          <w:b/>
          <w:sz w:val="26"/>
        </w:rPr>
        <w:t>8. Права субъектов и порядок ответа на запросы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Субъект имеет право на получение информации, касающейся обработки его персональных данных, на уточнение, блокирование или уничтожение данных, на отзыв согласия и на обжалование действий Общества в Роскомнадзор или в суд.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Запросы субъектов принимаются по адресу alfaallianse-info@mail.ru и по юридическому адресу Общества.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Ответ на запрос предоставляется ответственным лицом в срок, не превышающий 10 рабочих дней с даты получения запроса; срок может быть продлён не более чем на 5 рабочих дней с уведомлением субъекта.</w:t>
      </w:r>
    </w:p>
    <w:p>
      <w:pPr>
        <w:spacing w:before="240" w:after="80"/>
        <w:jc w:val="left"/>
      </w:pPr>
      <w:r>
        <w:rPr>
          <w:b/>
          <w:sz w:val="26"/>
        </w:rPr>
        <w:t>9. Ответственность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Работники Общества, виновные в нарушении требований законодательства о персональных данных и настоящего Положения, несут дисциплинарную, административную, гражданско-правовую и уголовную ответственность в порядке, установленном законодательством Российской Федерации.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844"/>
          </w:tcPr>
          <w:p>
            <w:r>
              <w:t>Генеральный директор ООО «Альфа Альянс»</w:t>
            </w:r>
          </w:p>
        </w:tc>
        <w:tc>
          <w:tcPr>
            <w:tcW w:type="dxa" w:w="4844"/>
          </w:tcPr>
          <w:p>
            <w:pPr>
              <w:jc w:val="right"/>
            </w:pPr>
            <w:r>
              <w:t>_________________ / ______________ /</w:t>
            </w:r>
          </w:p>
        </w:tc>
      </w:tr>
    </w:tbl>
    <w:p/>
    <w:p>
      <w:pPr>
        <w:spacing w:after="0"/>
        <w:jc w:val="both"/>
      </w:pPr>
      <w:r>
        <w:rPr>
          <w:b w:val="0"/>
          <w:i w:val="0"/>
        </w:rPr>
        <w:t>М.П.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