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b w:val="0"/>
          <w:i w:val="0"/>
          <w:sz w:val="24"/>
        </w:rPr>
        <w:t>В Самарский районный суд г. Самары</w:t>
      </w:r>
    </w:p>
    <w:p>
      <w:pPr>
        <w:spacing w:after="0"/>
        <w:jc w:val="right"/>
      </w:pPr>
      <w:r>
        <w:rPr>
          <w:b w:val="0"/>
          <w:i w:val="0"/>
          <w:sz w:val="24"/>
        </w:rPr>
        <w:t>443041, г. Самара, ул. Рабочая, д. 21</w:t>
      </w:r>
    </w:p>
    <w:p>
      <w:pPr>
        <w:spacing w:after="0"/>
        <w:jc w:val="right"/>
      </w:pPr>
      <w:r>
        <w:rPr>
          <w:b w:val="0"/>
          <w:i w:val="0"/>
          <w:sz w:val="24"/>
        </w:rPr>
      </w:r>
    </w:p>
    <w:p>
      <w:pPr>
        <w:spacing w:after="0"/>
        <w:jc w:val="right"/>
      </w:pPr>
      <w:r>
        <w:rPr>
          <w:b w:val="0"/>
          <w:i w:val="0"/>
          <w:sz w:val="24"/>
        </w:rPr>
        <w:t>Истец: ООО «Декоратор»</w:t>
      </w:r>
    </w:p>
    <w:p>
      <w:pPr>
        <w:spacing w:after="0"/>
        <w:jc w:val="right"/>
      </w:pPr>
      <w:r>
        <w:rPr>
          <w:b w:val="0"/>
          <w:i w:val="0"/>
          <w:sz w:val="24"/>
        </w:rPr>
        <w:t>443099, г. Самара, ул. Стрелка реки Самары, б/н, ком. 23</w:t>
      </w:r>
    </w:p>
    <w:p>
      <w:pPr>
        <w:spacing w:after="0"/>
        <w:jc w:val="right"/>
      </w:pPr>
      <w:r>
        <w:rPr>
          <w:b w:val="0"/>
          <w:i w:val="0"/>
          <w:sz w:val="24"/>
        </w:rPr>
        <w:t>ОГРН 1186313047800, ИНН 6317125200</w:t>
      </w:r>
    </w:p>
    <w:p>
      <w:pPr>
        <w:spacing w:after="0"/>
        <w:jc w:val="right"/>
      </w:pPr>
      <w:r>
        <w:rPr>
          <w:b w:val="0"/>
          <w:i w:val="0"/>
          <w:sz w:val="24"/>
        </w:rPr>
      </w:r>
    </w:p>
    <w:p>
      <w:pPr>
        <w:spacing w:after="0"/>
        <w:jc w:val="right"/>
      </w:pPr>
      <w:r>
        <w:rPr>
          <w:b w:val="0"/>
          <w:i w:val="0"/>
          <w:sz w:val="24"/>
        </w:rPr>
        <w:t>Ответчик 1: ООО «Строительная компания Авангард»</w:t>
      </w:r>
    </w:p>
    <w:p>
      <w:pPr>
        <w:spacing w:after="0"/>
        <w:jc w:val="right"/>
      </w:pPr>
      <w:r>
        <w:rPr>
          <w:b w:val="0"/>
          <w:i w:val="0"/>
          <w:sz w:val="24"/>
        </w:rPr>
        <w:t>ИНН 6311188250, ОГРН 1206300034522</w:t>
      </w:r>
    </w:p>
    <w:p>
      <w:pPr>
        <w:spacing w:after="0"/>
        <w:jc w:val="right"/>
      </w:pPr>
      <w:r>
        <w:rPr>
          <w:b w:val="0"/>
          <w:i w:val="0"/>
          <w:sz w:val="24"/>
        </w:rPr>
        <w:t>443070, г. Самара, ул. Аэродромная, д. 45, оф. 613</w:t>
      </w:r>
    </w:p>
    <w:p>
      <w:pPr>
        <w:spacing w:after="0"/>
        <w:jc w:val="right"/>
      </w:pPr>
      <w:r>
        <w:rPr>
          <w:b w:val="0"/>
          <w:i w:val="0"/>
          <w:sz w:val="24"/>
        </w:rPr>
      </w:r>
    </w:p>
    <w:p>
      <w:pPr>
        <w:spacing w:after="0"/>
        <w:jc w:val="right"/>
      </w:pPr>
      <w:r>
        <w:rPr>
          <w:b w:val="0"/>
          <w:i w:val="0"/>
          <w:sz w:val="24"/>
        </w:rPr>
        <w:t>Ответчик 2: Тюрин Александр Владимирович</w:t>
      </w:r>
    </w:p>
    <w:p>
      <w:pPr>
        <w:spacing w:after="0"/>
        <w:jc w:val="right"/>
      </w:pPr>
      <w:r>
        <w:rPr>
          <w:b w:val="0"/>
          <w:i w:val="0"/>
          <w:sz w:val="24"/>
        </w:rPr>
        <w:t>г. Самара, ул. А-Атинская, д. 102, кв. 28</w:t>
      </w:r>
    </w:p>
    <w:p>
      <w:pPr>
        <w:spacing w:after="0"/>
        <w:jc w:val="right"/>
      </w:pPr>
      <w:r>
        <w:rPr>
          <w:b w:val="0"/>
          <w:i w:val="0"/>
          <w:sz w:val="24"/>
        </w:rPr>
      </w:r>
    </w:p>
    <w:p>
      <w:pPr>
        <w:spacing w:after="0"/>
        <w:jc w:val="right"/>
      </w:pPr>
      <w:r>
        <w:rPr>
          <w:b w:val="0"/>
          <w:i w:val="0"/>
          <w:sz w:val="24"/>
        </w:rPr>
        <w:t>Дело № 2-1674/2026</w:t>
      </w:r>
    </w:p>
    <w:p>
      <w:pPr>
        <w:spacing w:after="160"/>
        <w:jc w:val="both"/>
      </w:pPr>
      <w:r>
        <w:rPr>
          <w:b w:val="0"/>
          <w:i w:val="0"/>
          <w:sz w:val="24"/>
        </w:rPr>
      </w:r>
    </w:p>
    <w:p>
      <w:pPr>
        <w:spacing w:after="0"/>
        <w:jc w:val="center"/>
      </w:pPr>
      <w:r>
        <w:rPr>
          <w:b/>
          <w:i w:val="0"/>
          <w:sz w:val="24"/>
        </w:rPr>
        <w:t>ХОДАТАЙСТВО</w:t>
      </w:r>
    </w:p>
    <w:p>
      <w:pPr>
        <w:spacing w:after="240"/>
        <w:jc w:val="center"/>
      </w:pPr>
      <w:r>
        <w:rPr>
          <w:b/>
          <w:i w:val="0"/>
          <w:sz w:val="24"/>
        </w:rPr>
        <w:t>о приобщении к материалам дела письменных доказательств</w:t>
      </w:r>
    </w:p>
    <w:p>
      <w:pPr>
        <w:spacing w:after="120"/>
        <w:ind w:firstLine="709"/>
        <w:jc w:val="both"/>
      </w:pPr>
      <w:r>
        <w:rPr>
          <w:b w:val="0"/>
          <w:i w:val="0"/>
          <w:sz w:val="24"/>
        </w:rPr>
        <w:t>В производстве Самарского районного суда г. Самары находится гражданское дело № 2-1674/2026, возбуждённое 20.08.2026 по иску ООО «Декоратор» к ООО «СК Авангард» и Тюрину А. В. о взыскании задолженности по договору поставки № 1349 от 14.07.2022, процентов за пользование коммерческим кредитом и неустойки.</w:t>
      </w:r>
    </w:p>
    <w:p>
      <w:pPr>
        <w:spacing w:after="120"/>
        <w:ind w:firstLine="709"/>
        <w:jc w:val="both"/>
      </w:pPr>
      <w:r>
        <w:rPr>
          <w:b w:val="0"/>
          <w:i w:val="0"/>
          <w:sz w:val="24"/>
        </w:rPr>
        <w:t>10.09.2026 Истцом заявлено ходатайство об уточнении размера исковых требований с приложением нового расчёта процентов по состоянию на 26.08.2026.</w:t>
      </w:r>
    </w:p>
    <w:p>
      <w:pPr>
        <w:spacing w:after="120"/>
        <w:ind w:firstLine="709"/>
        <w:jc w:val="both"/>
      </w:pPr>
      <w:r>
        <w:rPr>
          <w:b w:val="0"/>
          <w:i w:val="0"/>
          <w:sz w:val="24"/>
        </w:rPr>
        <w:t>В целях полного и всестороннего исследования обстоятельств дела Ответчики подготовили письменные документы, содержащие возражения по существу уточнённых требований и проверку представленного Истцом расчёта.</w:t>
      </w:r>
    </w:p>
    <w:p>
      <w:pPr>
        <w:spacing w:after="120"/>
        <w:jc w:val="left"/>
      </w:pPr>
      <w:r>
        <w:rPr>
          <w:b/>
          <w:i w:val="0"/>
          <w:sz w:val="24"/>
        </w:rPr>
        <w:t>Обоснование необходимости приобщения</w:t>
      </w:r>
    </w:p>
    <w:p>
      <w:pPr>
        <w:spacing w:after="120"/>
        <w:ind w:firstLine="709"/>
        <w:jc w:val="both"/>
      </w:pPr>
      <w:r>
        <w:rPr>
          <w:b w:val="0"/>
          <w:i w:val="0"/>
          <w:sz w:val="24"/>
        </w:rPr>
        <w:t>1. Представляемый контррасчёт содержит построчную проверку расчёта Истца и позволяет установить фактически применённую им процентную ставку. Указанная ставка Истцом прямо не раскрыта, однако может быть определена арифметически: по всем без исключения позициям расчёта она составляет 0,5% за каждый день, что соответствует 182,5% годовых. Данное обстоятельство имеет значение для разрешения вопроса о применении ст. 333 ГК РФ.</w:t>
      </w:r>
    </w:p>
    <w:p>
      <w:pPr>
        <w:spacing w:after="120"/>
        <w:ind w:firstLine="709"/>
        <w:jc w:val="both"/>
      </w:pPr>
      <w:r>
        <w:rPr>
          <w:b w:val="0"/>
          <w:i w:val="0"/>
          <w:sz w:val="24"/>
        </w:rPr>
        <w:t>2. Контррасчёт содержит разграничение начислений по признаку наличия просрочки. Из общей суммы процентов 116 033 руб. 18 коп. на партии товара, оплаченные 26.08.2026, приходится 37 163 руб. 47 коп., тогда как 78 869 руб. 71 коп. начислено на партии, оплаченные Ответчиком-1 в период с 2023 по 2026 год. Данное разграничение произведено на основании графы «Дата оплаты» расчёта самого Истца и необходимо для определения обоснованного размера требований.</w:t>
      </w:r>
    </w:p>
    <w:p>
      <w:pPr>
        <w:spacing w:after="120"/>
        <w:ind w:firstLine="709"/>
        <w:jc w:val="both"/>
      </w:pPr>
      <w:r>
        <w:rPr>
          <w:b w:val="0"/>
          <w:i w:val="0"/>
          <w:sz w:val="24"/>
        </w:rPr>
        <w:t>3. Кассовые чеки №№ 5-10 от 26.08.2026 подтверждают факт и дату исполнения обязательства по оплате товара, а также распределение платежей по конкретным расчётным документам. Указанные чеки сформированы контрольно-кассовой техникой Истца и в силу ст. 1.1 Федерального закона от 22.05.2003 № 54-ФЗ являются первичными учётными документами.</w:t>
      </w:r>
    </w:p>
    <w:p>
      <w:pPr>
        <w:spacing w:after="120"/>
        <w:ind w:firstLine="709"/>
        <w:jc w:val="both"/>
      </w:pPr>
      <w:r>
        <w:rPr>
          <w:b w:val="0"/>
          <w:i w:val="0"/>
          <w:sz w:val="24"/>
        </w:rPr>
        <w:t>4. Дополнительные возражения содержат правовую позицию Ответчиков по уточнённым требованиям, которая ранее не могла быть изложена, поскольку новый расчёт Истца представлен только 10.09.2026.</w:t>
      </w:r>
    </w:p>
    <w:p>
      <w:pPr>
        <w:spacing w:after="80"/>
        <w:jc w:val="both"/>
      </w:pPr>
      <w:r>
        <w:rPr>
          <w:b w:val="0"/>
          <w:i w:val="0"/>
          <w:sz w:val="24"/>
        </w:rPr>
      </w:r>
    </w:p>
    <w:p>
      <w:pPr>
        <w:spacing w:after="120"/>
        <w:ind w:firstLine="709"/>
        <w:jc w:val="both"/>
      </w:pPr>
      <w:r>
        <w:rPr>
          <w:b w:val="0"/>
          <w:i w:val="0"/>
          <w:sz w:val="24"/>
        </w:rPr>
        <w:t>Представляемые документы отвечают требованиям относимости и допустимости, установленным ст. 59 и 60 ГПК РФ, поскольку содержат сведения об обстоятельствах, имеющих значение для правильного рассмотрения дела, и получены из материалов, представленных самими сторонами.</w:t>
      </w:r>
    </w:p>
    <w:p>
      <w:pPr>
        <w:spacing w:after="120"/>
        <w:ind w:firstLine="709"/>
        <w:jc w:val="both"/>
      </w:pPr>
      <w:r>
        <w:rPr>
          <w:b w:val="0"/>
          <w:i w:val="0"/>
          <w:sz w:val="24"/>
        </w:rPr>
        <w:t>Копии документов направлены Истцу, что подтверждается прилагаемым документом о направлении.</w:t>
      </w:r>
    </w:p>
    <w:p>
      <w:pPr>
        <w:spacing w:after="120"/>
        <w:jc w:val="both"/>
      </w:pPr>
      <w:r>
        <w:rPr>
          <w:b w:val="0"/>
          <w:i w:val="0"/>
          <w:sz w:val="24"/>
        </w:rPr>
      </w:r>
    </w:p>
    <w:p>
      <w:pPr>
        <w:spacing w:after="120"/>
        <w:ind w:firstLine="709"/>
        <w:jc w:val="both"/>
      </w:pPr>
      <w:r>
        <w:rPr>
          <w:b w:val="0"/>
          <w:i w:val="0"/>
          <w:sz w:val="24"/>
        </w:rPr>
        <w:t>На основании изложенного, руководствуясь ст. 35, 56, 57, 59, 60, 71, 166 ГПК РФ,</w:t>
      </w:r>
    </w:p>
    <w:p>
      <w:pPr>
        <w:spacing w:after="40"/>
        <w:jc w:val="both"/>
      </w:pPr>
      <w:r>
        <w:rPr>
          <w:b w:val="0"/>
          <w:i w:val="0"/>
          <w:sz w:val="24"/>
        </w:rPr>
      </w:r>
    </w:p>
    <w:p>
      <w:pPr>
        <w:spacing w:after="120"/>
        <w:jc w:val="center"/>
      </w:pPr>
      <w:r>
        <w:rPr>
          <w:b/>
          <w:i w:val="0"/>
          <w:sz w:val="24"/>
        </w:rPr>
        <w:t>ПРОШУ СУД:</w:t>
      </w:r>
    </w:p>
    <w:p>
      <w:pPr>
        <w:spacing w:after="80"/>
        <w:ind w:left="425" w:hanging="425"/>
        <w:jc w:val="both"/>
      </w:pPr>
      <w:r>
        <w:rPr>
          <w:b/>
        </w:rPr>
        <w:t xml:space="preserve">1. </w:t>
      </w:r>
      <w:r>
        <w:t>Приобщить к материалам гражданского дела № 2-1674/2026 дополнительные возражения Ответчиков на уточнённые исковые требования.</w:t>
      </w:r>
    </w:p>
    <w:p>
      <w:pPr>
        <w:spacing w:after="80"/>
        <w:ind w:left="425" w:hanging="425"/>
        <w:jc w:val="both"/>
      </w:pPr>
      <w:r>
        <w:rPr>
          <w:b/>
        </w:rPr>
        <w:t xml:space="preserve">2. </w:t>
      </w:r>
      <w:r>
        <w:t>Приобщить к материалам дела контррасчёт процентов по ключевой ставке Банка России по состоянию на 26.08.2026.</w:t>
      </w:r>
    </w:p>
    <w:p>
      <w:pPr>
        <w:spacing w:after="80"/>
        <w:ind w:left="425" w:hanging="425"/>
        <w:jc w:val="both"/>
      </w:pPr>
      <w:r>
        <w:rPr>
          <w:b/>
        </w:rPr>
        <w:t xml:space="preserve">3. </w:t>
      </w:r>
      <w:r>
        <w:t>Приобщить к материалам дела копии кассовых чеков №№ 5-10 от 26.08.2026 на общую сумму 86 267 руб. 82 коп.</w:t>
      </w:r>
    </w:p>
    <w:p>
      <w:pPr>
        <w:spacing w:after="80"/>
        <w:ind w:left="425" w:hanging="425"/>
        <w:jc w:val="both"/>
      </w:pPr>
      <w:r>
        <w:rPr>
          <w:b/>
        </w:rPr>
        <w:t xml:space="preserve">4. </w:t>
      </w:r>
      <w:r>
        <w:t>Исследовать указанные документы в судебном заседании и дать им оценку при вынесении решения.</w:t>
      </w:r>
    </w:p>
    <w:p>
      <w:pPr>
        <w:spacing w:after="160"/>
        <w:jc w:val="both"/>
      </w:pPr>
      <w:r>
        <w:rPr>
          <w:b w:val="0"/>
          <w:i w:val="0"/>
          <w:sz w:val="24"/>
        </w:rPr>
      </w:r>
    </w:p>
    <w:p>
      <w:pPr>
        <w:spacing w:after="40"/>
        <w:jc w:val="left"/>
      </w:pPr>
      <w:r>
        <w:rPr>
          <w:b/>
          <w:i w:val="0"/>
          <w:sz w:val="24"/>
        </w:rPr>
        <w:t>Приложения:</w:t>
      </w:r>
    </w:p>
    <w:p>
      <w:pPr>
        <w:spacing w:after="40"/>
        <w:ind w:left="425" w:hanging="425"/>
        <w:jc w:val="both"/>
      </w:pPr>
      <w:r>
        <w:t>1. Дополнительные возражения на уточнённые исковые требования — на ____ л.</w:t>
      </w:r>
    </w:p>
    <w:p>
      <w:pPr>
        <w:spacing w:after="40"/>
        <w:ind w:left="425" w:hanging="425"/>
        <w:jc w:val="both"/>
      </w:pPr>
      <w:r>
        <w:t>2. Контррасчёт процентов по ключевой ставке Банка России на 26.08.2026 — на ____ л.</w:t>
      </w:r>
    </w:p>
    <w:p>
      <w:pPr>
        <w:spacing w:after="40"/>
        <w:ind w:left="425" w:hanging="425"/>
        <w:jc w:val="both"/>
      </w:pPr>
      <w:r>
        <w:t>3. Копии кассовых чеков №№ 5-10 от 26.08.2026 — на 8 л.</w:t>
      </w:r>
    </w:p>
    <w:p>
      <w:pPr>
        <w:spacing w:after="40"/>
        <w:ind w:left="425" w:hanging="425"/>
        <w:jc w:val="both"/>
      </w:pPr>
      <w:r>
        <w:t>4. Копия настоящего ходатайства с приложениями для Истца.</w:t>
      </w:r>
    </w:p>
    <w:p>
      <w:pPr>
        <w:spacing w:after="40"/>
        <w:ind w:left="425" w:hanging="425"/>
        <w:jc w:val="both"/>
      </w:pPr>
      <w:r>
        <w:t>5. Документ, подтверждающий направление копии ходатайства Истцу.</w:t>
      </w:r>
    </w:p>
    <w:p>
      <w:pPr>
        <w:spacing w:after="40"/>
        <w:ind w:left="425" w:hanging="425"/>
        <w:jc w:val="both"/>
      </w:pPr>
      <w:r>
        <w:t>6. Документ, подтверждающий полномочия представителя (при подаче представителем).</w:t>
      </w:r>
    </w:p>
    <w:p>
      <w:pPr>
        <w:spacing w:after="280"/>
        <w:jc w:val="both"/>
      </w:pPr>
      <w:r>
        <w:rPr>
          <w:b w:val="0"/>
          <w:i w:val="0"/>
          <w:sz w:val="24"/>
        </w:rPr>
      </w:r>
    </w:p>
    <w:p>
      <w:pPr>
        <w:spacing w:after="280"/>
        <w:jc w:val="left"/>
      </w:pPr>
      <w:r>
        <w:rPr>
          <w:b w:val="0"/>
          <w:i w:val="0"/>
          <w:sz w:val="24"/>
        </w:rPr>
        <w:t>«____» _____________ 2026 г.</w:t>
      </w:r>
    </w:p>
    <w:p>
      <w:pPr>
        <w:spacing w:after="160"/>
        <w:jc w:val="left"/>
      </w:pPr>
      <w:r>
        <w:rPr>
          <w:b w:val="0"/>
          <w:i w:val="0"/>
          <w:sz w:val="24"/>
        </w:rPr>
        <w:t>Директор ООО «СК Авангард»  ______________________ /_________________/</w:t>
      </w:r>
    </w:p>
    <w:p>
      <w:pPr>
        <w:spacing w:after="0"/>
        <w:jc w:val="left"/>
      </w:pPr>
      <w:r>
        <w:rPr>
          <w:b w:val="0"/>
          <w:i w:val="0"/>
          <w:sz w:val="24"/>
        </w:rPr>
        <w:t>Тюрин А. В.  ______________________</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