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КАРТА ГРАНТОВОЙ ПОДДЕРЖКИ</w:t>
      </w:r>
    </w:p>
    <w:p>
      <w:pPr>
        <w:spacing w:after="40"/>
        <w:jc w:val="center"/>
      </w:pPr>
      <w:r>
        <w:rPr>
          <w:b/>
          <w:i w:val="0"/>
          <w:sz w:val="24"/>
        </w:rPr>
        <w:t>Аналитическая записка для ООО «МАТ-Лабс»</w:t>
      </w:r>
    </w:p>
    <w:p>
      <w:pPr>
        <w:spacing w:after="40"/>
        <w:jc w:val="center"/>
      </w:pPr>
      <w:r>
        <w:rPr>
          <w:b w:val="0"/>
          <w:i/>
          <w:sz w:val="20"/>
        </w:rPr>
        <w:t>Разработка ПО, облачные решения, искусственный интеллект</w:t>
      </w:r>
    </w:p>
    <w:p>
      <w:pPr>
        <w:spacing w:after="240"/>
        <w:jc w:val="center"/>
      </w:pPr>
      <w:r>
        <w:rPr>
          <w:b w:val="0"/>
          <w:i w:val="0"/>
          <w:sz w:val="20"/>
        </w:rPr>
        <w:t>Дата подготовки: 28 сентября 2026 г.</w:t>
      </w:r>
    </w:p>
    <w:p>
      <w:pPr>
        <w:spacing w:before="160" w:after="80"/>
        <w:jc w:val="left"/>
      </w:pPr>
      <w:r>
        <w:rPr>
          <w:b/>
          <w:sz w:val="26"/>
        </w:rPr>
        <w:t>Главный вывод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IT-компании доступны две независимые линии поддержки: гранты Фонда содействия инновациям (ФСИ) и профильные инструменты для разработчиков ПО — РФРИТ, Сколково, налоговые льготы Минцифры. Они не конкурируют между собой и могут использоваться параллельно.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Ключевое условие для всех грантов: финансируется не заказная разработка под клиента, а собственный продукт с научно-технической новизной. Подрядная работа по чужому ТЗ грантом не поддерживается ни в одной программе. Это определяет, какой именно проект следует заявлять.</w:t>
      </w:r>
    </w:p>
    <w:p>
      <w:pPr>
        <w:spacing w:before="160" w:after="80"/>
        <w:jc w:val="left"/>
      </w:pPr>
      <w:r>
        <w:rPr>
          <w:b/>
          <w:sz w:val="26"/>
        </w:rPr>
        <w:t>Раздел 1. Программы Фонда содействия инновациям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Программа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Сумма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Кто может подать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Софинанс.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«Старт-1»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 33 млн по этапам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Юрлицо не старше 2 лет либо физлицо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 на 1 этапе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«Развитие»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15–30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Малое предприятие с опытом НИОКР и продаж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 15%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«Коммерциализация»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 50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Завершившие НИОКР, с опытом продаж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 50%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Тематические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 5–10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 лотам федеральных проектов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зависит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before="160" w:after="60"/>
        <w:jc w:val="left"/>
      </w:pPr>
      <w:r>
        <w:rPr>
          <w:b/>
          <w:sz w:val="22"/>
        </w:rPr>
        <w:t>«Старт» — если компания моложе 2 лет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Приём заявок постоянный, что снимает проблему дедлайнов. Направление Н1 «Цифровые технологии» прямо подходит профилю компании. Требования: возраст юрлица не более 2 лет, ранее не получали поддержку Фонда, руководитель не участвует в других проектах ФСИ, команда от 3 человек.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МАТ-Лабс старше двух лет, остаётся вариант подачи от физического лица — будущего руководителя нового предприятия. При победе юрлицо регистрируется в установленный срок, не менее 51% уставного капитала принадлежит команде. Минус схемы: грант получает новая компания, а не МАТ-Лабс.</w:t>
      </w:r>
    </w:p>
    <w:p>
      <w:pPr>
        <w:spacing w:before="160" w:after="60"/>
        <w:jc w:val="left"/>
      </w:pPr>
      <w:r>
        <w:rPr>
          <w:b/>
          <w:sz w:val="22"/>
        </w:rPr>
        <w:t>«Развитие» — основной кандидат для действующей компании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Ограничения по возрасту юрлица нет. Условия: статус малого предприятия по 209-ФЗ, отсутствие незавершённых договоров с Фондом, наличие опыта проведения НИОКР и продаж собственной наукоёмкой продукции.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Последний пункт — ключевой фильтр. Требуется подтвердить, что компания уже разрабатывала и продавала именно собственный продукт, а не оказывала услуги разработки. Если в портфеле только заказные проекты, обосновать соответствие будет сложно.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Грант до 30 млн на срок до 24 месяцев, софинансирование от 15% собственными средствами или деньгами инвестора. Расходы — только на НИОКР. Предпочтение отдаётся импортозамещающим проектам.</w:t>
      </w:r>
    </w:p>
    <w:p>
      <w:pPr>
        <w:spacing w:before="160" w:after="60"/>
        <w:jc w:val="left"/>
      </w:pPr>
      <w:r>
        <w:rPr>
          <w:b/>
          <w:sz w:val="22"/>
        </w:rPr>
        <w:t>«Коммерциализация» — если НИОКР завершена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До 50 млн на 12 месяцев, но софинансирование не менее 50% суммы гранта. Условия входа: завершённая стадия НИОКР и опыт продаж наукоёмкой продукции. Деньги идут не на разработку, а на вывод готового продукта в производство и на рынок.</w:t>
      </w:r>
    </w:p>
    <w:p>
      <w:pPr>
        <w:spacing w:before="160" w:after="60"/>
        <w:jc w:val="left"/>
      </w:pPr>
      <w:r>
        <w:rPr>
          <w:b/>
          <w:sz w:val="22"/>
        </w:rPr>
        <w:t>Общие ограничения по всем программам ФСИ</w:t>
      </w:r>
    </w:p>
    <w:p>
      <w:pPr>
        <w:spacing w:after="60"/>
        <w:ind w:left="454" w:hanging="227"/>
        <w:jc w:val="both"/>
      </w:pPr>
      <w:r>
        <w:rPr>
          <w:sz w:val="22"/>
        </w:rPr>
        <w:t>— Компания должна быть в реестре МСП — проверяется автоматически, отсутствие означает отклонение без рассмотрения.</w:t>
      </w:r>
    </w:p>
    <w:p>
      <w:pPr>
        <w:spacing w:after="60"/>
        <w:ind w:left="454" w:hanging="227"/>
        <w:jc w:val="both"/>
      </w:pPr>
      <w:r>
        <w:rPr>
          <w:sz w:val="22"/>
        </w:rPr>
        <w:t>— Ранее полученная поддержка Фонда блокирует участие в большинстве программ.</w:t>
      </w:r>
    </w:p>
    <w:p>
      <w:pPr>
        <w:spacing w:after="60"/>
        <w:ind w:left="454" w:hanging="227"/>
        <w:jc w:val="both"/>
      </w:pPr>
      <w:r>
        <w:rPr>
          <w:sz w:val="22"/>
        </w:rPr>
        <w:t>— От одного заявителя одновременно рассматривается только одна заявка по всем конкурсам.</w:t>
      </w:r>
    </w:p>
    <w:p>
      <w:pPr>
        <w:spacing w:after="60"/>
        <w:ind w:left="454" w:hanging="227"/>
        <w:jc w:val="both"/>
      </w:pPr>
      <w:r>
        <w:rPr>
          <w:sz w:val="22"/>
        </w:rPr>
        <w:t>— Руководитель и научный руководитель не должны фигурировать в других проектах ФСИ.</w:t>
      </w:r>
    </w:p>
    <w:p>
      <w:pPr>
        <w:spacing w:after="60"/>
        <w:ind w:left="454" w:hanging="227"/>
        <w:jc w:val="both"/>
      </w:pPr>
      <w:r>
        <w:rPr>
          <w:sz w:val="22"/>
        </w:rPr>
        <w:t>— Обязательный результат — оформленный РИД: патент либо свидетельство о регистрации программы для ЭВМ на получателя гранта.</w:t>
      </w:r>
    </w:p>
    <w:p>
      <w:pPr>
        <w:spacing w:after="60"/>
        <w:ind w:left="454" w:hanging="227"/>
        <w:jc w:val="both"/>
      </w:pPr>
      <w:r>
        <w:rPr>
          <w:sz w:val="22"/>
        </w:rPr>
        <w:t>— Плановые показатели по выручке и рабочим местам фиксируются на 5 лет. При существенном недостижении Фонд вправе потребовать возврата средств.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Раздел 2. Профильные инструменты для IT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разработчика программного обеспечения эти механизмы часто выгоднее и доступнее грантов ФСИ.</w:t>
      </w:r>
    </w:p>
    <w:p>
      <w:pPr>
        <w:spacing w:before="160" w:after="60"/>
        <w:jc w:val="left"/>
      </w:pPr>
      <w:r>
        <w:rPr>
          <w:b/>
          <w:sz w:val="22"/>
        </w:rPr>
        <w:t>Аккредитация Минцифры — первоочередной шаг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Не грант, но даёт прямой экономический эффект без конкурсного отбора: нулевой налог на прибыль и пониженные страховые взносы. Для компании с фондом оплаты труда это обычно больше, чем любой грант. Требования: основной ОКВЭД из перечня, доля профильной выручки не ниже установленного порога, уровень зарплат не ниже среднего по отрасли.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Аккредитация также является входным условием для ряда других мер поддержки, включая программы РФРИТ. Если её нет — начинать следует с неё.</w:t>
      </w:r>
    </w:p>
    <w:p>
      <w:pPr>
        <w:spacing w:before="160" w:after="60"/>
        <w:jc w:val="left"/>
      </w:pPr>
      <w:r>
        <w:rPr>
          <w:b/>
          <w:sz w:val="22"/>
        </w:rPr>
        <w:t>РФРИТ — гранты на российское ПО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Российский фонд развития информационных технологий поддерживает разработку и внедрение отечественных программных продуктов. Суммы существенно выше фондовских, до сотен миллионов по отдельным направлениям. Требует аккредитации Минцифры и, как правило, наличия продукта в реестре российского ПО либо обязательства его туда внести.</w:t>
      </w:r>
    </w:p>
    <w:p>
      <w:pPr>
        <w:spacing w:before="160" w:after="60"/>
        <w:jc w:val="left"/>
      </w:pPr>
      <w:r>
        <w:rPr>
          <w:b/>
          <w:sz w:val="22"/>
        </w:rPr>
        <w:t>Реестр российского ПО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Включение продукта в реестр даёт освобождение от НДС при продаже лицензий и открывает доступ к госзакупкам, где приоритет отечественного ПО закреплён законодательно. Для продуктовой IT-компании это не опция, а необходимость.</w:t>
      </w:r>
    </w:p>
    <w:p>
      <w:pPr>
        <w:spacing w:before="160" w:after="60"/>
        <w:jc w:val="left"/>
      </w:pPr>
      <w:r>
        <w:rPr>
          <w:b/>
          <w:sz w:val="22"/>
        </w:rPr>
        <w:t>Сколково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Статус резидента для IT-проекта получается относительно легко и даёт налоговые льготы, микрогранты и доступ к экосистеме. Совместим с участием в программах ФСИ.</w:t>
      </w:r>
    </w:p>
    <w:p>
      <w:pPr>
        <w:spacing w:before="160" w:after="60"/>
        <w:jc w:val="left"/>
      </w:pPr>
      <w:r>
        <w:rPr>
          <w:b/>
          <w:sz w:val="22"/>
        </w:rPr>
        <w:t>Статус малой технологической компании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Даёт дополнительный балл при оценке заявок в ФСИ и открывает отдельные меры поддержки. Оформляется через реестр МТК.</w:t>
      </w:r>
    </w:p>
    <w:p>
      <w:pPr>
        <w:spacing w:before="160" w:after="80"/>
        <w:jc w:val="left"/>
      </w:pPr>
      <w:r>
        <w:rPr>
          <w:b/>
          <w:sz w:val="26"/>
        </w:rPr>
        <w:t>Раздел 3. Что определит выбор программы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Точную рекомендацию можно дать после ответа на четыре вопроса. Каждый из них меняет набор доступных вариантов.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28"/>
        <w:gridCol w:w="5128"/>
      </w:tblGrid>
      <w:tr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Вопрос</w:t>
            </w:r>
          </w:p>
        </w:tc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Как влияет на выбор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Возраст юрлица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 2 лет — открыт «Старт». Старше — только «Развитие», «Коммерциализация», РФРИТ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Годовая выручка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Влияет на статус МСП и на соответствие требованиям отдельных конкурсов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Есть ли собственный продукт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Без него «Развитие» и «Коммерциализация» недоступны — там требуется опыт продаж наукоёмкой продукции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Стадия проекта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Идея и прототип — «Старт». Есть разработка, нужно новое поколение — «Развитие». Продукт готов — «Коммерциализация», РФРИТ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Были ли гранты ФСИ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Ранее полученная поддержка закрывает большинство программ Фонда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Аккредитация Минцифры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Без неё недоступны РФРИТ и часть отраслевых мер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Раздел 4. Как подготовить сильную заявку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Анализ типовых причин отказа показывает, что заявки отклоняются не из-за слабой технологии, а из-за дефектов обоснования. Ниже — то, на чём проваливаются чаще всего.</w:t>
      </w:r>
    </w:p>
    <w:p>
      <w:pPr>
        <w:spacing w:before="160" w:after="60"/>
        <w:jc w:val="left"/>
      </w:pPr>
      <w:r>
        <w:rPr>
          <w:b/>
          <w:sz w:val="22"/>
        </w:rPr>
        <w:t>Научно-техническая новизна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Самая частая причина отказа по содержанию. Использование готовых фреймворков, обёртка над чужой моделью или интеграция существующих сервисов новизной не являются. Нужно показать, что именно создаётся впервые: собственный алгоритм, архитектурное решение, метод обработки данных. Формулировка «разработаем платформу на React и Python» — гарантированный отказ.</w:t>
      </w:r>
    </w:p>
    <w:p>
      <w:pPr>
        <w:spacing w:before="160" w:after="60"/>
        <w:jc w:val="left"/>
      </w:pPr>
      <w:r>
        <w:rPr>
          <w:b/>
          <w:sz w:val="22"/>
        </w:rPr>
        <w:t>Научно-технический задел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Требуется подтвердить, что команда уже продвинулась в теме: публикации за последние 2–3 года, результаты предварительных исследований или испытаний, зарегистрированные РИД. Свидетельства о регистрации программ для ЭВМ — самый доступный для IT-компании способ сформировать задел. Регистрация занимает несколько месяцев, поэтому начинать стоит заранее.</w:t>
      </w:r>
    </w:p>
    <w:p>
      <w:pPr>
        <w:spacing w:before="160" w:after="60"/>
        <w:jc w:val="left"/>
      </w:pPr>
      <w:r>
        <w:rPr>
          <w:b/>
          <w:sz w:val="22"/>
        </w:rPr>
        <w:t>Обоснование рынка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Нужны объём и ёмкость рынка с источниками, тенденции развития, корректное сравнение с конкурентами — включая зарубежные аналоги, если проект импортозамещающий. Отдельно ценится подтверждение востребованности: письма заинтересованности от потенциальных заказчиков, соглашения о намерениях. Такие письма собираются заранее и заметно усиливают заявку.</w:t>
      </w:r>
    </w:p>
    <w:p>
      <w:pPr>
        <w:spacing w:before="160" w:after="60"/>
        <w:jc w:val="left"/>
      </w:pPr>
      <w:r>
        <w:rPr>
          <w:b/>
          <w:sz w:val="22"/>
        </w:rPr>
        <w:t>Команда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Минимум 3 человека с подтверждённой квалификацией: дипломы, трудовые книжки, портфолио. Отдельно требуется план привлечения специалистов на этапе коммерциализации — маркетинг, продажи. Эксперты регулярно снимают баллы за то, что в команде одни разработчики и никого, кто будет продавать.</w:t>
      </w:r>
    </w:p>
    <w:p>
      <w:pPr>
        <w:spacing w:before="160" w:after="60"/>
        <w:jc w:val="left"/>
      </w:pPr>
      <w:r>
        <w:rPr>
          <w:b/>
          <w:sz w:val="22"/>
        </w:rPr>
        <w:t>Техническое задание и календарный план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Требования формулируются к результату проекта — прототипу, а не к конечному коммерческому продукту. В ТЗ нужны конкретные количественные показатели: не «высокая точность», а «точность распознавания не ниже 92% на тестовой выборке». В календарном плане — не менее 3–5 работ по каждому этапу.</w:t>
      </w:r>
    </w:p>
    <w:p>
      <w:pPr>
        <w:spacing w:before="160" w:after="80"/>
        <w:jc w:val="left"/>
      </w:pPr>
      <w:r>
        <w:rPr>
          <w:b/>
          <w:sz w:val="26"/>
        </w:rPr>
        <w:t>Раздел 5. Рекомендуемая последовательность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Проверить наличие компании в реестре МСП и, при отсутствии, устранить причину. Без этого статуса программы ФСИ недоступны.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Оформить аккредитацию Минцифры, если её нет. Даёт налоговый эффект немедленно и открывает доступ к РФРИТ.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Определить продуктовый проект с реальной новизной — тот, который компания развивает для себя, а не по заказу клиента.</w:t>
      </w:r>
    </w:p>
    <w:p>
      <w:pPr>
        <w:spacing w:after="80"/>
        <w:ind w:left="454" w:hanging="454"/>
        <w:jc w:val="both"/>
      </w:pPr>
      <w:r>
        <w:rPr>
          <w:b/>
        </w:rPr>
        <w:t xml:space="preserve">4. </w:t>
      </w:r>
      <w:r>
        <w:t>Зарегистрировать программу для ЭВМ по теме проекта. Формирует научно-технический задел и является обязательным результатом большинства грантов.</w:t>
      </w:r>
    </w:p>
    <w:p>
      <w:pPr>
        <w:spacing w:after="80"/>
        <w:ind w:left="454" w:hanging="454"/>
        <w:jc w:val="both"/>
      </w:pPr>
      <w:r>
        <w:rPr>
          <w:b/>
        </w:rPr>
        <w:t xml:space="preserve">5. </w:t>
      </w:r>
      <w:r>
        <w:t>Собрать письма заинтересованности от потенциальных заказчиков. Закрывает критерий подтверждённого спроса.</w:t>
      </w:r>
    </w:p>
    <w:p>
      <w:pPr>
        <w:spacing w:after="80"/>
        <w:ind w:left="454" w:hanging="454"/>
        <w:jc w:val="both"/>
      </w:pPr>
      <w:r>
        <w:rPr>
          <w:b/>
        </w:rPr>
        <w:t xml:space="preserve">6. </w:t>
      </w:r>
      <w:r>
        <w:t>Получить бесплатную консультацию Фонда по выбору конкурса: info@fasie.ru, +7 495 249-249-2. Специалисты подскажут подходящую очередь по вашему профилю быстрее, чем самостоятельный анализ.</w:t>
      </w:r>
    </w:p>
    <w:p>
      <w:pPr>
        <w:spacing w:after="80"/>
        <w:ind w:left="454" w:hanging="454"/>
        <w:jc w:val="both"/>
      </w:pPr>
      <w:r>
        <w:rPr>
          <w:b/>
        </w:rPr>
        <w:t xml:space="preserve">7. </w:t>
      </w:r>
      <w:r>
        <w:t>Подготовить заявку по выбранной программе с учётом критериев из раздела 4.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Важное замечание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Грант — это не бесплатные деньги, а обязательство. Плановые показатели по выручке и рабочим местам фиксируются на пять лет вперёд, отчётность ежегодная, при существенном недостижении Фонд вправе потребовать возврата средств. Подавать заявку имеет смысл под проект, который компания планирует развивать в любом случае — тогда грант ускоряет то, что и так будет сделано, а не создаёт обязательства под чужую задачу.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Документ подготовлен на основании открытых данных сайта fasie.ru и положений о программах Фонда по состоянию на сентябрь 2026 г. Условия конкурсов меняются — перед подачей необходимо свериться с актуальной редакцией положения.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