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rPr>
          <w:b w:val="0"/>
          <w:i w:val="0"/>
          <w:sz w:val="24"/>
        </w:rPr>
        <w:t>В Самарский районный суд г. Самары</w:t>
      </w:r>
    </w:p>
    <w:p>
      <w:pPr>
        <w:spacing w:after="0"/>
        <w:jc w:val="right"/>
      </w:pPr>
      <w:r>
        <w:rPr>
          <w:b w:val="0"/>
          <w:i w:val="0"/>
          <w:sz w:val="24"/>
        </w:rPr>
        <w:t>443041, г. Самара, ул. Рабочая, д. 21</w:t>
      </w:r>
    </w:p>
    <w:p>
      <w:pPr>
        <w:spacing w:after="0"/>
        <w:jc w:val="right"/>
      </w:pPr>
      <w:r>
        <w:rPr>
          <w:b w:val="0"/>
          <w:i w:val="0"/>
          <w:sz w:val="24"/>
        </w:rPr>
      </w:r>
    </w:p>
    <w:p>
      <w:pPr>
        <w:spacing w:after="0"/>
        <w:jc w:val="right"/>
      </w:pPr>
      <w:r>
        <w:rPr>
          <w:b w:val="0"/>
          <w:i w:val="0"/>
          <w:sz w:val="24"/>
        </w:rPr>
        <w:t>Истец: ООО «Декоратор»</w:t>
      </w:r>
    </w:p>
    <w:p>
      <w:pPr>
        <w:spacing w:after="0"/>
        <w:jc w:val="right"/>
      </w:pPr>
      <w:r>
        <w:rPr>
          <w:b w:val="0"/>
          <w:i w:val="0"/>
          <w:sz w:val="24"/>
        </w:rPr>
        <w:t>443099, г. Самара, ул. Стрелка реки Самары, б/н, ком. 23</w:t>
      </w:r>
    </w:p>
    <w:p>
      <w:pPr>
        <w:spacing w:after="0"/>
        <w:jc w:val="right"/>
      </w:pPr>
      <w:r>
        <w:rPr>
          <w:b w:val="0"/>
          <w:i w:val="0"/>
          <w:sz w:val="24"/>
        </w:rPr>
        <w:t>ОГРН 1186313047800, ИНН 6317125200</w:t>
      </w:r>
    </w:p>
    <w:p>
      <w:pPr>
        <w:spacing w:after="0"/>
        <w:jc w:val="right"/>
      </w:pPr>
      <w:r>
        <w:rPr>
          <w:b w:val="0"/>
          <w:i w:val="0"/>
          <w:sz w:val="24"/>
        </w:rPr>
      </w:r>
    </w:p>
    <w:p>
      <w:pPr>
        <w:spacing w:after="0"/>
        <w:jc w:val="right"/>
      </w:pPr>
      <w:r>
        <w:rPr>
          <w:b w:val="0"/>
          <w:i w:val="0"/>
          <w:sz w:val="24"/>
        </w:rPr>
        <w:t>Ответчик 1: ООО «Строительная компания Авангард»</w:t>
      </w:r>
    </w:p>
    <w:p>
      <w:pPr>
        <w:spacing w:after="0"/>
        <w:jc w:val="right"/>
      </w:pPr>
      <w:r>
        <w:rPr>
          <w:b w:val="0"/>
          <w:i w:val="0"/>
          <w:sz w:val="24"/>
        </w:rPr>
        <w:t>ИНН 6311188250, ОГРН 1206300034522</w:t>
      </w:r>
    </w:p>
    <w:p>
      <w:pPr>
        <w:spacing w:after="0"/>
        <w:jc w:val="right"/>
      </w:pPr>
      <w:r>
        <w:rPr>
          <w:b w:val="0"/>
          <w:i w:val="0"/>
          <w:sz w:val="24"/>
        </w:rPr>
        <w:t>443070, г. Самара, ул. Аэродромная, д. 45, оф. 613</w:t>
      </w:r>
    </w:p>
    <w:p>
      <w:pPr>
        <w:spacing w:after="0"/>
        <w:jc w:val="right"/>
      </w:pPr>
      <w:r>
        <w:rPr>
          <w:b w:val="0"/>
          <w:i w:val="0"/>
          <w:sz w:val="24"/>
        </w:rPr>
      </w:r>
    </w:p>
    <w:p>
      <w:pPr>
        <w:spacing w:after="0"/>
        <w:jc w:val="right"/>
      </w:pPr>
      <w:r>
        <w:rPr>
          <w:b w:val="0"/>
          <w:i w:val="0"/>
          <w:sz w:val="24"/>
        </w:rPr>
        <w:t>Ответчик 2: Тюрин Александр Владимирович</w:t>
      </w:r>
    </w:p>
    <w:p>
      <w:pPr>
        <w:spacing w:after="0"/>
        <w:jc w:val="right"/>
      </w:pPr>
      <w:r>
        <w:rPr>
          <w:b w:val="0"/>
          <w:i w:val="0"/>
          <w:sz w:val="24"/>
        </w:rPr>
        <w:t>г. Самара, ул. А-Атинская, д. 102, кв. 28</w:t>
      </w:r>
    </w:p>
    <w:p>
      <w:pPr>
        <w:spacing w:after="0"/>
        <w:jc w:val="right"/>
      </w:pPr>
      <w:r>
        <w:rPr>
          <w:b w:val="0"/>
          <w:i w:val="0"/>
          <w:sz w:val="24"/>
        </w:rPr>
      </w:r>
    </w:p>
    <w:p>
      <w:pPr>
        <w:spacing w:after="0"/>
        <w:jc w:val="right"/>
      </w:pPr>
      <w:r>
        <w:rPr>
          <w:b w:val="0"/>
          <w:i w:val="0"/>
          <w:sz w:val="24"/>
        </w:rPr>
        <w:t>Дело № 2-1674/2026</w:t>
      </w:r>
    </w:p>
    <w:p>
      <w:pPr>
        <w:spacing w:after="120"/>
        <w:jc w:val="both"/>
      </w:pPr>
      <w:r>
        <w:rPr>
          <w:b w:val="0"/>
          <w:i w:val="0"/>
          <w:sz w:val="24"/>
        </w:rPr>
      </w:r>
    </w:p>
    <w:p>
      <w:pPr>
        <w:spacing w:after="0"/>
        <w:jc w:val="center"/>
      </w:pPr>
      <w:r>
        <w:rPr>
          <w:b/>
          <w:i w:val="0"/>
          <w:sz w:val="24"/>
        </w:rPr>
        <w:t>ДОПОЛНИТЕЛЬНЫЕ ВОЗРАЖЕНИЯ</w:t>
      </w:r>
    </w:p>
    <w:p>
      <w:pPr>
        <w:spacing w:after="0"/>
        <w:jc w:val="center"/>
      </w:pPr>
      <w:r>
        <w:rPr>
          <w:b/>
          <w:i w:val="0"/>
          <w:sz w:val="24"/>
        </w:rPr>
        <w:t>на уточнённые исковые требования</w:t>
      </w:r>
    </w:p>
    <w:p>
      <w:pPr>
        <w:spacing w:after="240"/>
        <w:jc w:val="center"/>
      </w:pPr>
      <w:r>
        <w:rPr>
          <w:b w:val="0"/>
          <w:i w:val="0"/>
          <w:sz w:val="24"/>
        </w:rPr>
        <w:t>(к ходатайству Истца б/н от 10.09.2026 об уточнении размера исковых требований)</w:t>
      </w:r>
    </w:p>
    <w:p>
      <w:pPr>
        <w:spacing w:after="120"/>
        <w:ind w:firstLine="709"/>
        <w:jc w:val="both"/>
      </w:pPr>
      <w:r>
        <w:rPr>
          <w:b w:val="0"/>
          <w:i w:val="0"/>
          <w:sz w:val="24"/>
        </w:rPr>
        <w:t>В производстве суда находится дело № 2-1674/2026, возбуждённое 20.08.2026 по иску ООО «Декоратор» к ООО «СК Авангард» и Тюрину А. В. о взыскании задолженности по договору поставки № 1349 от 14.07.2022, процентов за пользование коммерческим кредитом и неустойки.</w:t>
      </w:r>
    </w:p>
    <w:p>
      <w:pPr>
        <w:spacing w:after="120"/>
        <w:ind w:firstLine="709"/>
        <w:jc w:val="both"/>
      </w:pPr>
      <w:r>
        <w:rPr>
          <w:b w:val="0"/>
          <w:i w:val="0"/>
          <w:sz w:val="24"/>
        </w:rPr>
        <w:t>10.09.2026 Истцом заявлено ходатайство об уточнении размера исковых требований, которым Истец отказался от требования о взыскании основного долга и просит взыскать солидарно проценты за пользование коммерческим кредитом в размере 116 033 руб. 18 коп. и неустойку в размере 23 206 руб. 64 коп.</w:t>
      </w:r>
    </w:p>
    <w:p>
      <w:pPr>
        <w:spacing w:after="120"/>
        <w:ind w:firstLine="709"/>
        <w:jc w:val="both"/>
      </w:pPr>
      <w:r>
        <w:rPr>
          <w:b w:val="0"/>
          <w:i w:val="0"/>
          <w:sz w:val="24"/>
        </w:rPr>
        <w:t>Ранее заявленные возражения Ответчики поддерживают. Дополнительно, с учётом нового расчёта Истца, поясняем следующее.</w:t>
      </w:r>
    </w:p>
    <w:p>
      <w:pPr>
        <w:spacing w:after="120"/>
        <w:jc w:val="left"/>
      </w:pPr>
      <w:r>
        <w:rPr>
          <w:b/>
          <w:i w:val="0"/>
          <w:sz w:val="24"/>
        </w:rPr>
        <w:t>1. Истец признал факт полного погашения основного долга</w:t>
      </w:r>
    </w:p>
    <w:p>
      <w:pPr>
        <w:spacing w:after="120"/>
        <w:ind w:firstLine="709"/>
        <w:jc w:val="both"/>
      </w:pPr>
      <w:r>
        <w:rPr>
          <w:b w:val="0"/>
          <w:i w:val="0"/>
          <w:sz w:val="24"/>
        </w:rPr>
        <w:t>В ходатайстве от 10.09.2026 Истец прямо указывает: «26.08.2026 года от ООО «СК Авангард» поступили денежные средства в общем размере 86 267 руб. 82 коп. в счёт погашения задолженности за поставленный товар по договору поставки, что подтверждается кассовыми чеками №№ 5-10 от 26.08.2026г.». Далее Истец констатирует: «Таким образом, основная задолженность за поставленный товар погашена Ответчиками в полном объёме».</w:t>
      </w:r>
    </w:p>
    <w:p>
      <w:pPr>
        <w:spacing w:after="120"/>
        <w:ind w:firstLine="709"/>
        <w:jc w:val="both"/>
      </w:pPr>
      <w:r>
        <w:rPr>
          <w:b w:val="0"/>
          <w:i w:val="0"/>
          <w:sz w:val="24"/>
        </w:rPr>
        <w:t>Итоговая строка нового расчёта Истца (Приложение № 1 к ходатайству), скреплённого печатью и подписью директора Пестова А. В., содержит показатель: «Задолженность на 09.09.2026 — 0,00».</w:t>
      </w:r>
    </w:p>
    <w:p>
      <w:pPr>
        <w:spacing w:after="120"/>
        <w:ind w:firstLine="709"/>
        <w:jc w:val="both"/>
      </w:pPr>
      <w:r>
        <w:rPr>
          <w:b w:val="0"/>
          <w:i w:val="0"/>
          <w:sz w:val="24"/>
        </w:rPr>
        <w:t>Указанные обстоятельства в силу ч. 2 ст. 68 ГПК РФ являются признанием стороной обстоятельств и освобождают Ответчиков от их дальнейшего доказывания. Требование о взыскании основного долга удовлетворению не подлежит ввиду отсутствия предмета спора.</w:t>
      </w:r>
    </w:p>
    <w:p>
      <w:pPr>
        <w:spacing w:after="120"/>
        <w:ind w:firstLine="709"/>
        <w:jc w:val="both"/>
      </w:pPr>
      <w:r>
        <w:rPr>
          <w:b w:val="0"/>
          <w:i w:val="0"/>
          <w:sz w:val="24"/>
        </w:rPr>
        <w:t>Ответчики не оспаривают, что оплата произведена после возбуждения дела, и не возражают против отнесения на них расходов Истца по государственной пошлине в соответствующей части в порядке ч. 1 ст. 101 ГПК РФ. Вместе с тем добровольное погашение долга до вынесения решения суда, без применения мер принудительного исполнения, свидетельствует о добросовестности Ответчиков и подлежит учёту при разрешении вопроса о снижении санкций.</w:t>
      </w:r>
    </w:p>
    <w:p>
      <w:pPr>
        <w:spacing w:after="120"/>
        <w:jc w:val="left"/>
      </w:pPr>
      <w:r>
        <w:rPr>
          <w:b/>
          <w:i w:val="0"/>
          <w:sz w:val="24"/>
        </w:rPr>
        <w:t>2. Расчёт Истца документально подтверждает применение ставки 182,5% годовых</w:t>
      </w:r>
    </w:p>
    <w:p>
      <w:pPr>
        <w:spacing w:after="120"/>
        <w:ind w:firstLine="709"/>
        <w:jc w:val="both"/>
      </w:pPr>
      <w:r>
        <w:rPr>
          <w:b w:val="0"/>
          <w:i w:val="0"/>
          <w:sz w:val="24"/>
        </w:rPr>
        <w:t>Новый расчёт Истца впервые позволяет проверить применённую ставку арифметически, поскольку содержит по каждой позиции сумму отгрузки, количество дней и размер начисленных процентов. Построчная проверка даёт следующий результат:</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2422"/>
        <w:gridCol w:w="2422"/>
        <w:gridCol w:w="2422"/>
        <w:gridCol w:w="2422"/>
      </w:tblGrid>
      <w:tr>
        <w:tc>
          <w:tcPr>
            <w:tcW w:type="dxa" w:w="2422"/>
          </w:tcPr>
          <w:p>
            <w:pPr>
              <w:spacing w:after="0" w:before="0"/>
              <w:jc w:val="center"/>
            </w:pPr>
            <w:r/>
            <w:r>
              <w:rPr>
                <w:rFonts w:ascii="Times New Roman" w:hAnsi="Times New Roman"/>
                <w:b/>
                <w:sz w:val="18"/>
              </w:rPr>
              <w:t>Сумма отгрузки, руб.</w:t>
            </w:r>
          </w:p>
        </w:tc>
        <w:tc>
          <w:tcPr>
            <w:tcW w:type="dxa" w:w="2422"/>
          </w:tcPr>
          <w:p>
            <w:pPr>
              <w:spacing w:after="0" w:before="0"/>
              <w:jc w:val="center"/>
            </w:pPr>
            <w:r/>
            <w:r>
              <w:rPr>
                <w:rFonts w:ascii="Times New Roman" w:hAnsi="Times New Roman"/>
                <w:b/>
                <w:sz w:val="18"/>
              </w:rPr>
              <w:t>Дней</w:t>
            </w:r>
          </w:p>
        </w:tc>
        <w:tc>
          <w:tcPr>
            <w:tcW w:type="dxa" w:w="2422"/>
          </w:tcPr>
          <w:p>
            <w:pPr>
              <w:spacing w:after="0" w:before="0"/>
              <w:jc w:val="center"/>
            </w:pPr>
            <w:r/>
            <w:r>
              <w:rPr>
                <w:rFonts w:ascii="Times New Roman" w:hAnsi="Times New Roman"/>
                <w:b/>
                <w:sz w:val="18"/>
              </w:rPr>
              <w:t>Начислено процентов, руб.</w:t>
            </w:r>
          </w:p>
        </w:tc>
        <w:tc>
          <w:tcPr>
            <w:tcW w:type="dxa" w:w="2422"/>
          </w:tcPr>
          <w:p>
            <w:pPr>
              <w:spacing w:after="0" w:before="0"/>
              <w:jc w:val="center"/>
            </w:pPr>
            <w:r/>
            <w:r>
              <w:rPr>
                <w:rFonts w:ascii="Times New Roman" w:hAnsi="Times New Roman"/>
                <w:b/>
                <w:sz w:val="18"/>
              </w:rPr>
              <w:t>Ставка в день</w:t>
            </w:r>
          </w:p>
        </w:tc>
      </w:tr>
      <w:tr>
        <w:tc>
          <w:tcPr>
            <w:tcW w:type="dxa" w:w="2422"/>
          </w:tcPr>
          <w:p>
            <w:pPr>
              <w:spacing w:after="0" w:before="0"/>
              <w:jc w:val="right"/>
            </w:pPr>
            <w:r/>
            <w:r>
              <w:rPr>
                <w:rFonts w:ascii="Times New Roman" w:hAnsi="Times New Roman"/>
                <w:b w:val="0"/>
                <w:sz w:val="18"/>
              </w:rPr>
              <w:t>39 967,08</w:t>
            </w:r>
          </w:p>
        </w:tc>
        <w:tc>
          <w:tcPr>
            <w:tcW w:type="dxa" w:w="2422"/>
          </w:tcPr>
          <w:p>
            <w:pPr>
              <w:spacing w:after="0" w:before="0"/>
              <w:jc w:val="center"/>
            </w:pPr>
            <w:r/>
            <w:r>
              <w:rPr>
                <w:rFonts w:ascii="Times New Roman" w:hAnsi="Times New Roman"/>
                <w:b w:val="0"/>
                <w:sz w:val="18"/>
              </w:rPr>
              <w:t>7</w:t>
            </w:r>
          </w:p>
        </w:tc>
        <w:tc>
          <w:tcPr>
            <w:tcW w:type="dxa" w:w="2422"/>
          </w:tcPr>
          <w:p>
            <w:pPr>
              <w:spacing w:after="0" w:before="0"/>
              <w:jc w:val="right"/>
            </w:pPr>
            <w:r/>
            <w:r>
              <w:rPr>
                <w:rFonts w:ascii="Times New Roman" w:hAnsi="Times New Roman"/>
                <w:b w:val="0"/>
                <w:sz w:val="18"/>
              </w:rPr>
              <w:t>1 398,85</w:t>
            </w:r>
          </w:p>
        </w:tc>
        <w:tc>
          <w:tcPr>
            <w:tcW w:type="dxa" w:w="2422"/>
          </w:tcPr>
          <w:p>
            <w:pPr>
              <w:spacing w:after="0" w:before="0"/>
              <w:jc w:val="center"/>
            </w:pPr>
            <w:r/>
            <w:r>
              <w:rPr>
                <w:rFonts w:ascii="Times New Roman" w:hAnsi="Times New Roman"/>
                <w:b w:val="0"/>
                <w:sz w:val="18"/>
              </w:rPr>
              <w:t>0,500%</w:t>
            </w:r>
          </w:p>
        </w:tc>
      </w:tr>
      <w:tr>
        <w:tc>
          <w:tcPr>
            <w:tcW w:type="dxa" w:w="2422"/>
          </w:tcPr>
          <w:p>
            <w:pPr>
              <w:spacing w:after="0" w:before="0"/>
              <w:jc w:val="right"/>
            </w:pPr>
            <w:r/>
            <w:r>
              <w:rPr>
                <w:rFonts w:ascii="Times New Roman" w:hAnsi="Times New Roman"/>
                <w:b w:val="0"/>
                <w:sz w:val="18"/>
              </w:rPr>
              <w:t>95 621,00</w:t>
            </w:r>
          </w:p>
        </w:tc>
        <w:tc>
          <w:tcPr>
            <w:tcW w:type="dxa" w:w="2422"/>
          </w:tcPr>
          <w:p>
            <w:pPr>
              <w:spacing w:after="0" w:before="0"/>
              <w:jc w:val="center"/>
            </w:pPr>
            <w:r/>
            <w:r>
              <w:rPr>
                <w:rFonts w:ascii="Times New Roman" w:hAnsi="Times New Roman"/>
                <w:b w:val="0"/>
                <w:sz w:val="18"/>
              </w:rPr>
              <w:t>6</w:t>
            </w:r>
          </w:p>
        </w:tc>
        <w:tc>
          <w:tcPr>
            <w:tcW w:type="dxa" w:w="2422"/>
          </w:tcPr>
          <w:p>
            <w:pPr>
              <w:spacing w:after="0" w:before="0"/>
              <w:jc w:val="right"/>
            </w:pPr>
            <w:r/>
            <w:r>
              <w:rPr>
                <w:rFonts w:ascii="Times New Roman" w:hAnsi="Times New Roman"/>
                <w:b w:val="0"/>
                <w:sz w:val="18"/>
              </w:rPr>
              <w:t>2 868,63</w:t>
            </w:r>
          </w:p>
        </w:tc>
        <w:tc>
          <w:tcPr>
            <w:tcW w:type="dxa" w:w="2422"/>
          </w:tcPr>
          <w:p>
            <w:pPr>
              <w:spacing w:after="0" w:before="0"/>
              <w:jc w:val="center"/>
            </w:pPr>
            <w:r/>
            <w:r>
              <w:rPr>
                <w:rFonts w:ascii="Times New Roman" w:hAnsi="Times New Roman"/>
                <w:b w:val="0"/>
                <w:sz w:val="18"/>
              </w:rPr>
              <w:t>0,500%</w:t>
            </w:r>
          </w:p>
        </w:tc>
      </w:tr>
      <w:tr>
        <w:tc>
          <w:tcPr>
            <w:tcW w:type="dxa" w:w="2422"/>
          </w:tcPr>
          <w:p>
            <w:pPr>
              <w:spacing w:after="0" w:before="0"/>
              <w:jc w:val="right"/>
            </w:pPr>
            <w:r/>
            <w:r>
              <w:rPr>
                <w:rFonts w:ascii="Times New Roman" w:hAnsi="Times New Roman"/>
                <w:b w:val="0"/>
                <w:sz w:val="18"/>
              </w:rPr>
              <w:t>99 395,29</w:t>
            </w:r>
          </w:p>
        </w:tc>
        <w:tc>
          <w:tcPr>
            <w:tcW w:type="dxa" w:w="2422"/>
          </w:tcPr>
          <w:p>
            <w:pPr>
              <w:spacing w:after="0" w:before="0"/>
              <w:jc w:val="center"/>
            </w:pPr>
            <w:r/>
            <w:r>
              <w:rPr>
                <w:rFonts w:ascii="Times New Roman" w:hAnsi="Times New Roman"/>
                <w:b w:val="0"/>
                <w:sz w:val="18"/>
              </w:rPr>
              <w:t>25</w:t>
            </w:r>
          </w:p>
        </w:tc>
        <w:tc>
          <w:tcPr>
            <w:tcW w:type="dxa" w:w="2422"/>
          </w:tcPr>
          <w:p>
            <w:pPr>
              <w:spacing w:after="0" w:before="0"/>
              <w:jc w:val="right"/>
            </w:pPr>
            <w:r/>
            <w:r>
              <w:rPr>
                <w:rFonts w:ascii="Times New Roman" w:hAnsi="Times New Roman"/>
                <w:b w:val="0"/>
                <w:sz w:val="18"/>
              </w:rPr>
              <w:t>12 424,41</w:t>
            </w:r>
          </w:p>
        </w:tc>
        <w:tc>
          <w:tcPr>
            <w:tcW w:type="dxa" w:w="2422"/>
          </w:tcPr>
          <w:p>
            <w:pPr>
              <w:spacing w:after="0" w:before="0"/>
              <w:jc w:val="center"/>
            </w:pPr>
            <w:r/>
            <w:r>
              <w:rPr>
                <w:rFonts w:ascii="Times New Roman" w:hAnsi="Times New Roman"/>
                <w:b w:val="0"/>
                <w:sz w:val="18"/>
              </w:rPr>
              <w:t>0,500%</w:t>
            </w:r>
          </w:p>
        </w:tc>
      </w:tr>
      <w:tr>
        <w:tc>
          <w:tcPr>
            <w:tcW w:type="dxa" w:w="2422"/>
          </w:tcPr>
          <w:p>
            <w:pPr>
              <w:spacing w:after="0" w:before="0"/>
              <w:jc w:val="right"/>
            </w:pPr>
            <w:r/>
            <w:r>
              <w:rPr>
                <w:rFonts w:ascii="Times New Roman" w:hAnsi="Times New Roman"/>
                <w:b w:val="0"/>
                <w:sz w:val="18"/>
              </w:rPr>
              <w:t>10 437,92</w:t>
            </w:r>
          </w:p>
        </w:tc>
        <w:tc>
          <w:tcPr>
            <w:tcW w:type="dxa" w:w="2422"/>
          </w:tcPr>
          <w:p>
            <w:pPr>
              <w:spacing w:after="0" w:before="0"/>
              <w:jc w:val="center"/>
            </w:pPr>
            <w:r/>
            <w:r>
              <w:rPr>
                <w:rFonts w:ascii="Times New Roman" w:hAnsi="Times New Roman"/>
                <w:b w:val="0"/>
                <w:sz w:val="18"/>
              </w:rPr>
              <w:t>99</w:t>
            </w:r>
          </w:p>
        </w:tc>
        <w:tc>
          <w:tcPr>
            <w:tcW w:type="dxa" w:w="2422"/>
          </w:tcPr>
          <w:p>
            <w:pPr>
              <w:spacing w:after="0" w:before="0"/>
              <w:jc w:val="right"/>
            </w:pPr>
            <w:r/>
            <w:r>
              <w:rPr>
                <w:rFonts w:ascii="Times New Roman" w:hAnsi="Times New Roman"/>
                <w:b w:val="0"/>
                <w:sz w:val="18"/>
              </w:rPr>
              <w:t>5 166,77</w:t>
            </w:r>
          </w:p>
        </w:tc>
        <w:tc>
          <w:tcPr>
            <w:tcW w:type="dxa" w:w="2422"/>
          </w:tcPr>
          <w:p>
            <w:pPr>
              <w:spacing w:after="0" w:before="0"/>
              <w:jc w:val="center"/>
            </w:pPr>
            <w:r/>
            <w:r>
              <w:rPr>
                <w:rFonts w:ascii="Times New Roman" w:hAnsi="Times New Roman"/>
                <w:b w:val="0"/>
                <w:sz w:val="18"/>
              </w:rPr>
              <w:t>0,500%</w:t>
            </w:r>
          </w:p>
        </w:tc>
      </w:tr>
      <w:tr>
        <w:tc>
          <w:tcPr>
            <w:tcW w:type="dxa" w:w="2422"/>
          </w:tcPr>
          <w:p>
            <w:pPr>
              <w:spacing w:after="0" w:before="0"/>
              <w:jc w:val="right"/>
            </w:pPr>
            <w:r/>
            <w:r>
              <w:rPr>
                <w:rFonts w:ascii="Times New Roman" w:hAnsi="Times New Roman"/>
                <w:b w:val="0"/>
                <w:sz w:val="18"/>
              </w:rPr>
              <w:t>20 340,91</w:t>
            </w:r>
          </w:p>
        </w:tc>
        <w:tc>
          <w:tcPr>
            <w:tcW w:type="dxa" w:w="2422"/>
          </w:tcPr>
          <w:p>
            <w:pPr>
              <w:spacing w:after="0" w:before="0"/>
              <w:jc w:val="center"/>
            </w:pPr>
            <w:r/>
            <w:r>
              <w:rPr>
                <w:rFonts w:ascii="Times New Roman" w:hAnsi="Times New Roman"/>
                <w:b w:val="0"/>
                <w:sz w:val="18"/>
              </w:rPr>
              <w:t>92</w:t>
            </w:r>
          </w:p>
        </w:tc>
        <w:tc>
          <w:tcPr>
            <w:tcW w:type="dxa" w:w="2422"/>
          </w:tcPr>
          <w:p>
            <w:pPr>
              <w:spacing w:after="0" w:before="0"/>
              <w:jc w:val="right"/>
            </w:pPr>
            <w:r/>
            <w:r>
              <w:rPr>
                <w:rFonts w:ascii="Times New Roman" w:hAnsi="Times New Roman"/>
                <w:b w:val="0"/>
                <w:sz w:val="18"/>
              </w:rPr>
              <w:t>9 356,82</w:t>
            </w:r>
          </w:p>
        </w:tc>
        <w:tc>
          <w:tcPr>
            <w:tcW w:type="dxa" w:w="2422"/>
          </w:tcPr>
          <w:p>
            <w:pPr>
              <w:spacing w:after="0" w:before="0"/>
              <w:jc w:val="center"/>
            </w:pPr>
            <w:r/>
            <w:r>
              <w:rPr>
                <w:rFonts w:ascii="Times New Roman" w:hAnsi="Times New Roman"/>
                <w:b w:val="0"/>
                <w:sz w:val="18"/>
              </w:rPr>
              <w:t>0,500%</w:t>
            </w:r>
          </w:p>
        </w:tc>
      </w:tr>
      <w:tr>
        <w:tc>
          <w:tcPr>
            <w:tcW w:type="dxa" w:w="2422"/>
          </w:tcPr>
          <w:p>
            <w:pPr>
              <w:spacing w:after="0" w:before="0"/>
              <w:jc w:val="right"/>
            </w:pPr>
            <w:r/>
            <w:r>
              <w:rPr>
                <w:rFonts w:ascii="Times New Roman" w:hAnsi="Times New Roman"/>
                <w:b w:val="0"/>
                <w:sz w:val="18"/>
              </w:rPr>
              <w:t>20 046,06</w:t>
            </w:r>
          </w:p>
        </w:tc>
        <w:tc>
          <w:tcPr>
            <w:tcW w:type="dxa" w:w="2422"/>
          </w:tcPr>
          <w:p>
            <w:pPr>
              <w:spacing w:after="0" w:before="0"/>
              <w:jc w:val="center"/>
            </w:pPr>
            <w:r/>
            <w:r>
              <w:rPr>
                <w:rFonts w:ascii="Times New Roman" w:hAnsi="Times New Roman"/>
                <w:b w:val="0"/>
                <w:sz w:val="18"/>
              </w:rPr>
              <w:t>75</w:t>
            </w:r>
          </w:p>
        </w:tc>
        <w:tc>
          <w:tcPr>
            <w:tcW w:type="dxa" w:w="2422"/>
          </w:tcPr>
          <w:p>
            <w:pPr>
              <w:spacing w:after="0" w:before="0"/>
              <w:jc w:val="right"/>
            </w:pPr>
            <w:r/>
            <w:r>
              <w:rPr>
                <w:rFonts w:ascii="Times New Roman" w:hAnsi="Times New Roman"/>
                <w:b w:val="0"/>
                <w:sz w:val="18"/>
              </w:rPr>
              <w:t>7 517,27</w:t>
            </w:r>
          </w:p>
        </w:tc>
        <w:tc>
          <w:tcPr>
            <w:tcW w:type="dxa" w:w="2422"/>
          </w:tcPr>
          <w:p>
            <w:pPr>
              <w:spacing w:after="0" w:before="0"/>
              <w:jc w:val="center"/>
            </w:pPr>
            <w:r/>
            <w:r>
              <w:rPr>
                <w:rFonts w:ascii="Times New Roman" w:hAnsi="Times New Roman"/>
                <w:b w:val="0"/>
                <w:sz w:val="18"/>
              </w:rPr>
              <w:t>0,500%</w:t>
            </w:r>
          </w:p>
        </w:tc>
      </w:tr>
    </w:tbl>
    <w:p>
      <w:pPr>
        <w:spacing w:after="80"/>
        <w:jc w:val="both"/>
      </w:pPr>
      <w:r>
        <w:rPr>
          <w:b w:val="0"/>
          <w:i w:val="0"/>
          <w:sz w:val="24"/>
        </w:rPr>
      </w:r>
    </w:p>
    <w:p>
      <w:pPr>
        <w:spacing w:after="120"/>
        <w:ind w:firstLine="709"/>
        <w:jc w:val="both"/>
      </w:pPr>
      <w:r>
        <w:rPr>
          <w:b w:val="0"/>
          <w:i w:val="0"/>
          <w:sz w:val="24"/>
        </w:rPr>
        <w:t>Ставка 0,500% за каждый день применена Истцом единообразно по всем позициям расчёта без исключения, что соответствует 182,5% годовых.</w:t>
      </w:r>
    </w:p>
    <w:p>
      <w:pPr>
        <w:spacing w:after="120"/>
        <w:ind w:firstLine="709"/>
        <w:jc w:val="both"/>
      </w:pPr>
      <w:r>
        <w:rPr>
          <w:b w:val="0"/>
          <w:i w:val="0"/>
          <w:sz w:val="24"/>
        </w:rPr>
        <w:t>Неустойка в размере 23 206 руб. 64 коп. составляет ровно одну пятую от суммы процентов (116 033,18 ÷ 5 = 23 206,64), что арифметически точно соответствует соотношению ставок 0,1% и 0,5% в день. Данное обстоятельство неопровержимо доказывает, что обе суммы начислены на одну и ту же базу, за один и тот же период и за одно и то же нарушение — просрочку оплаты товара.</w:t>
      </w:r>
    </w:p>
    <w:p>
      <w:pPr>
        <w:spacing w:after="120"/>
        <w:ind w:firstLine="709"/>
        <w:jc w:val="both"/>
      </w:pPr>
      <w:r>
        <w:rPr>
          <w:b w:val="0"/>
          <w:i w:val="0"/>
          <w:sz w:val="24"/>
        </w:rPr>
        <w:t>Совокупная ставка финансовых санкций составляет 0,6% в день, или 219% годовых, что превышает ключевую ставку Банка России (18% годовых) в 12,2 раза.</w:t>
      </w:r>
    </w:p>
    <w:p>
      <w:pPr>
        <w:spacing w:after="120"/>
        <w:jc w:val="left"/>
      </w:pPr>
      <w:r>
        <w:rPr>
          <w:b/>
          <w:i w:val="0"/>
          <w:sz w:val="24"/>
        </w:rPr>
        <w:t>3. 68% заявленных процентов начислено на полностью оплаченные поставки</w:t>
      </w:r>
    </w:p>
    <w:p>
      <w:pPr>
        <w:spacing w:after="120"/>
        <w:ind w:firstLine="709"/>
        <w:jc w:val="both"/>
      </w:pPr>
      <w:r>
        <w:rPr>
          <w:b w:val="0"/>
          <w:i w:val="0"/>
          <w:sz w:val="24"/>
        </w:rPr>
        <w:t>Из общей суммы процентов 116 033 руб. 18 коп. на восемь партий товара, оплаченных 26.08.2026, приходится лишь 37 163 руб. 47 коп. (5 166,77 + 9 356,82 + 370,90 + 1 863,31 + 8 654,66 + 3 489,51 + 7 517,27 + 744,23).</w:t>
      </w:r>
    </w:p>
    <w:p>
      <w:pPr>
        <w:spacing w:after="120"/>
        <w:ind w:firstLine="709"/>
        <w:jc w:val="both"/>
      </w:pPr>
      <w:r>
        <w:rPr>
          <w:b w:val="0"/>
          <w:i w:val="0"/>
          <w:sz w:val="24"/>
        </w:rPr>
        <w:t>Оставшиеся 78 869 руб. 71 коп., то есть 68% заявленной суммы, начислены на партии товара, оплаченные Ответчиком-1 в период с 2023 по 2026 год, что подтверждается графой «Дата оплаты» расчёта самого Истца.</w:t>
      </w:r>
    </w:p>
    <w:p>
      <w:pPr>
        <w:spacing w:after="120"/>
        <w:ind w:firstLine="709"/>
        <w:jc w:val="both"/>
      </w:pPr>
      <w:r>
        <w:rPr>
          <w:b w:val="0"/>
          <w:i w:val="0"/>
          <w:sz w:val="24"/>
        </w:rPr>
        <w:t>Обращаем особое внимание суда: указанная величина — 78 869 руб. 71 коп. — полностью совпадает в первоначальном и в уточнённом расчётах Истца. При увеличении общей суммы процентов со 112 151 руб. 13 коп. до 116 033 руб. 18 коп. прирост произошёл исключительно за счёт восьми просроченных партий. Это подтверждает, что начисления на оплаченные поставки были зафиксированы Истцом ранее и более не пересматривались, а сумма основного долга 86 267 руб. 82 коп. в точности равна сумме тех же восьми партий (10 437,92 + 20 340,91 + 806,31 + 4 050,68 + 20 363,90 + 8 210,60 + 20 046,06 + 2 011,44).</w:t>
      </w:r>
    </w:p>
    <w:p>
      <w:pPr>
        <w:spacing w:after="120"/>
        <w:ind w:firstLine="709"/>
        <w:jc w:val="both"/>
      </w:pPr>
      <w:r>
        <w:rPr>
          <w:b w:val="0"/>
          <w:i w:val="0"/>
          <w:sz w:val="24"/>
        </w:rPr>
        <w:t>Начисление платы за пользование денежными средствами за периоды, в которые эти средства уже были возвращены кредитору, противоречит существу обязательства (п. 1 ст. 809, ст. 823 ГК РФ). Сумма 78 869 руб. 71 коп. подлежит исключению из расчёта как необоснованная.</w:t>
      </w:r>
    </w:p>
    <w:p>
      <w:pPr>
        <w:spacing w:after="120"/>
        <w:jc w:val="left"/>
      </w:pPr>
      <w:r>
        <w:rPr>
          <w:b/>
          <w:i w:val="0"/>
          <w:sz w:val="24"/>
        </w:rPr>
        <w:t>4. Проценты по п. 4.4 договора подлежат оценке как скрытая неустойка</w:t>
      </w:r>
    </w:p>
    <w:p>
      <w:pPr>
        <w:spacing w:after="120"/>
        <w:ind w:firstLine="709"/>
        <w:jc w:val="both"/>
      </w:pPr>
      <w:r>
        <w:rPr>
          <w:b w:val="0"/>
          <w:i w:val="0"/>
          <w:sz w:val="24"/>
        </w:rPr>
        <w:t>Условие о плате в размере 182,5% годовых не отвечает признакам обычной платы за пользование коммерческим кредитом и по своей правовой природе является мерой ответственности за нарушение обязательства. Определяющее значение имеет существо правоотношения, а не наименование, использованное сторонами в договоре (ст. 431 ГК РФ).</w:t>
      </w:r>
    </w:p>
    <w:p>
      <w:pPr>
        <w:spacing w:after="120"/>
        <w:ind w:firstLine="709"/>
        <w:jc w:val="both"/>
      </w:pPr>
      <w:r>
        <w:rPr>
          <w:b w:val="0"/>
          <w:i w:val="0"/>
          <w:sz w:val="24"/>
        </w:rPr>
        <w:t>Установление платы, кратно превышающей рыночную стоимость заёмного финансирования, свидетельствует о её штрафном характере. Одновременное взыскание процентов по п. 4.4 и неустойки по п. 7.2 договора за одно нарушение представляет собой двойную меру ответственности, что недопустимо в силу п. 2 ст. 330 ГК РФ и разъяснений, изложенных в п. 80 постановления Пленума Верховного Суда РФ от 24.03.2016 № 7.</w:t>
      </w:r>
    </w:p>
    <w:p>
      <w:pPr>
        <w:spacing w:after="120"/>
        <w:ind w:firstLine="709"/>
        <w:jc w:val="both"/>
      </w:pPr>
      <w:r>
        <w:rPr>
          <w:b w:val="0"/>
          <w:i w:val="0"/>
          <w:sz w:val="24"/>
        </w:rPr>
        <w:t>Соответственно, к сумме процентов подлежат применению положения ст. 333 ГК РФ.</w:t>
      </w:r>
    </w:p>
    <w:p>
      <w:pPr>
        <w:spacing w:after="120"/>
        <w:jc w:val="left"/>
      </w:pPr>
      <w:r>
        <w:rPr>
          <w:b/>
          <w:i w:val="0"/>
          <w:sz w:val="24"/>
        </w:rPr>
        <w:t>5. Истец своим бездействием содействовал увеличению размера санкций</w:t>
      </w:r>
    </w:p>
    <w:p>
      <w:pPr>
        <w:spacing w:after="120"/>
        <w:ind w:firstLine="709"/>
        <w:jc w:val="both"/>
      </w:pPr>
      <w:r>
        <w:rPr>
          <w:b w:val="0"/>
          <w:i w:val="0"/>
          <w:sz w:val="24"/>
        </w:rPr>
        <w:t>Просрочка оплаты, по утверждению Истца, возникла начиная с 25.09.2023. Претензия № 666 направлена Истцом только 26.06.2026 — спустя два года и девять месяцев, иск подан 20.08.2026.</w:t>
      </w:r>
    </w:p>
    <w:p>
      <w:pPr>
        <w:spacing w:after="120"/>
        <w:ind w:firstLine="709"/>
        <w:jc w:val="both"/>
      </w:pPr>
      <w:r>
        <w:rPr>
          <w:b w:val="0"/>
          <w:i w:val="0"/>
          <w:sz w:val="24"/>
        </w:rPr>
        <w:t>При этом стороны на протяжении всего указанного периода продолжали хозяйственные отношения: Истец непрерывно производил новые отгрузки товара, принимал платежи и не заявлял о наличии задолженности. Расчёт Истца подтверждает, что последняя отгрузка произведена 13.05.2026, то есть уже после направления претензии не поступало никаких возражений против продолжения поставок.</w:t>
      </w:r>
    </w:p>
    <w:p>
      <w:pPr>
        <w:spacing w:after="120"/>
        <w:ind w:firstLine="709"/>
        <w:jc w:val="both"/>
      </w:pPr>
      <w:r>
        <w:rPr>
          <w:b w:val="0"/>
          <w:i w:val="0"/>
          <w:sz w:val="24"/>
        </w:rPr>
        <w:t>Показательно, что после получения претензии и предъявления иска долг был погашен Ответчиком-1 в течение непродолжительного времени — 26.08.2026, в полном объёме. Это свидетельствует о том, что при своевременном обращении Истца задолженность была бы погашена значительно раньше, а размер санкций не достиг бы заявленной величины.</w:t>
      </w:r>
    </w:p>
    <w:p>
      <w:pPr>
        <w:spacing w:after="120"/>
        <w:ind w:firstLine="709"/>
        <w:jc w:val="both"/>
      </w:pPr>
      <w:r>
        <w:rPr>
          <w:b w:val="0"/>
          <w:i w:val="0"/>
          <w:sz w:val="24"/>
        </w:rPr>
        <w:t>Длительное непредъявление требования при продолжении отгрузок привело к многократному увеличению начисленных процентов. В силу п. 1 ст. 404 ГК РФ суд вправе уменьшить размер ответственности должника, если кредитор умышленно или по неосторожности содействовал увеличению размера убытков либо не принял разумных мер к их уменьшению.</w:t>
      </w:r>
    </w:p>
    <w:p>
      <w:pPr>
        <w:spacing w:after="120"/>
        <w:jc w:val="left"/>
      </w:pPr>
      <w:r>
        <w:rPr>
          <w:b/>
          <w:i w:val="0"/>
          <w:sz w:val="24"/>
        </w:rPr>
        <w:t>6. Требования к Ответчику-2 заявлены с нарушением</w:t>
      </w:r>
    </w:p>
    <w:p>
      <w:pPr>
        <w:spacing w:after="120"/>
        <w:ind w:firstLine="709"/>
        <w:jc w:val="both"/>
      </w:pPr>
      <w:r>
        <w:rPr>
          <w:b w:val="0"/>
          <w:i w:val="0"/>
          <w:sz w:val="24"/>
        </w:rPr>
        <w:t>Требования о солидарном взыскании заявлены к Тюрину А. В. как к физическому лицу. Основания солидарной ответственности физического лица по обязательствам юридического лица Истцом не раскрыты, договор поручительства либо иное соглашение, устанавливающее такую ответственность, в материалы дела не представлены. В силу п. 1 ст. 322 ГК РФ солидарная обязанность возникает только в случаях, предусмотренных договором или законом.</w:t>
      </w:r>
    </w:p>
    <w:p>
      <w:pPr>
        <w:spacing w:after="120"/>
        <w:jc w:val="left"/>
      </w:pPr>
      <w:r>
        <w:rPr>
          <w:b/>
          <w:i w:val="0"/>
          <w:sz w:val="24"/>
        </w:rPr>
        <w:t>7. Обоснованный размер требований</w:t>
      </w:r>
    </w:p>
    <w:p>
      <w:pPr>
        <w:spacing w:after="120"/>
        <w:ind w:firstLine="709"/>
        <w:jc w:val="both"/>
      </w:pPr>
      <w:r>
        <w:rPr>
          <w:b w:val="0"/>
          <w:i w:val="0"/>
          <w:sz w:val="24"/>
        </w:rPr>
        <w:t>Ответчики полагают обоснованным начисление санкций исключительно на восемь фактически просроченных партий товара исходя из ключевой ставки Банка России 18% годовых, что составляет 3 665 руб. 44 коп. согласно прилагаемому контррасчёту.</w:t>
      </w:r>
    </w:p>
    <w:p>
      <w:pPr>
        <w:spacing w:after="120"/>
        <w:ind w:firstLine="709"/>
        <w:jc w:val="both"/>
      </w:pPr>
      <w:r>
        <w:rPr>
          <w:b w:val="0"/>
          <w:i w:val="0"/>
          <w:sz w:val="24"/>
        </w:rPr>
        <w:t>Проценты за пользование чужими денежными средствами по правилам ст. 395 ГК РФ являются той минимальной величиной, ниже которой снижение санкций не производится (п. 6 ст. 395 ГК РФ, п. 72 постановления Пленума ВС РФ от 24.03.2016 № 7). Заявленный Истцом размер превышает эту величину в 38 раз.</w:t>
      </w:r>
    </w:p>
    <w:p>
      <w:pPr>
        <w:spacing w:after="120"/>
        <w:jc w:val="both"/>
      </w:pPr>
      <w:r>
        <w:rPr>
          <w:b w:val="0"/>
          <w:i w:val="0"/>
          <w:sz w:val="24"/>
        </w:rPr>
      </w:r>
    </w:p>
    <w:p>
      <w:pPr>
        <w:spacing w:after="120"/>
        <w:ind w:firstLine="709"/>
        <w:jc w:val="both"/>
      </w:pPr>
      <w:r>
        <w:rPr>
          <w:b w:val="0"/>
          <w:i w:val="0"/>
          <w:sz w:val="24"/>
        </w:rPr>
        <w:t>На основании изложенного, руководствуясь ст. 330, 333, 404 ГК РФ, ст. 35, 68, 98, 101 ГПК РФ,</w:t>
      </w:r>
    </w:p>
    <w:p>
      <w:pPr>
        <w:spacing w:after="40"/>
        <w:jc w:val="both"/>
      </w:pPr>
      <w:r>
        <w:rPr>
          <w:b w:val="0"/>
          <w:i w:val="0"/>
          <w:sz w:val="24"/>
        </w:rPr>
      </w:r>
    </w:p>
    <w:p>
      <w:pPr>
        <w:spacing w:after="120"/>
        <w:jc w:val="center"/>
      </w:pPr>
      <w:r>
        <w:rPr>
          <w:b/>
          <w:i w:val="0"/>
          <w:sz w:val="24"/>
        </w:rPr>
        <w:t>ПРОШУ СУД:</w:t>
      </w:r>
    </w:p>
    <w:p>
      <w:pPr>
        <w:spacing w:after="80"/>
        <w:ind w:left="425" w:hanging="425"/>
        <w:jc w:val="both"/>
      </w:pPr>
      <w:r>
        <w:rPr>
          <w:b/>
        </w:rPr>
        <w:t xml:space="preserve">1. </w:t>
      </w:r>
      <w:r>
        <w:t>Принять во внимание признание Истцом факта полного погашения основного долга в размере 86 267 руб. 82 коп. и отказать в удовлетворении требования о его взыскании.</w:t>
      </w:r>
    </w:p>
    <w:p>
      <w:pPr>
        <w:spacing w:after="80"/>
        <w:ind w:left="425" w:hanging="425"/>
        <w:jc w:val="both"/>
      </w:pPr>
      <w:r>
        <w:rPr>
          <w:b/>
        </w:rPr>
        <w:t xml:space="preserve">2. </w:t>
      </w:r>
      <w:r>
        <w:t>Исключить из расчёта Истца проценты в размере 78 869 руб. 71 коп., начисленные на полностью оплаченные поставки при отсутствии просрочки.</w:t>
      </w:r>
    </w:p>
    <w:p>
      <w:pPr>
        <w:spacing w:after="80"/>
        <w:ind w:left="425" w:hanging="425"/>
        <w:jc w:val="both"/>
      </w:pPr>
      <w:r>
        <w:rPr>
          <w:b/>
        </w:rPr>
        <w:t xml:space="preserve">3. </w:t>
      </w:r>
      <w:r>
        <w:t>Отказать в удовлетворении требования о взыскании неустойки в размере 23 206 руб. 64 коп. как представляющей двойную меру ответственности за одно нарушение.</w:t>
      </w:r>
    </w:p>
    <w:p>
      <w:pPr>
        <w:spacing w:after="80"/>
        <w:ind w:left="425" w:hanging="425"/>
        <w:jc w:val="both"/>
      </w:pPr>
      <w:r>
        <w:rPr>
          <w:b/>
        </w:rPr>
        <w:t xml:space="preserve">4. </w:t>
      </w:r>
      <w:r>
        <w:t>Применить ст. 333 и п. 1 ст. 404 ГК РФ и снизить размер подлежащих взысканию санкций до 3 665 руб. 44 коп., исчисленных по ключевой ставке Банка России.</w:t>
      </w:r>
    </w:p>
    <w:p>
      <w:pPr>
        <w:spacing w:after="80"/>
        <w:ind w:left="425" w:hanging="425"/>
        <w:jc w:val="both"/>
      </w:pPr>
      <w:r>
        <w:rPr>
          <w:b/>
        </w:rPr>
        <w:t xml:space="preserve">5. </w:t>
      </w:r>
      <w:r>
        <w:t>Отказать в удовлетворении требований, заявленных к Тюрину Александру Владимировичу, в связи с недоказанностью оснований солидарной ответственности.</w:t>
      </w:r>
    </w:p>
    <w:p>
      <w:pPr>
        <w:spacing w:after="80"/>
        <w:ind w:left="425" w:hanging="425"/>
        <w:jc w:val="both"/>
      </w:pPr>
      <w:r>
        <w:rPr>
          <w:b/>
        </w:rPr>
        <w:t xml:space="preserve">6. </w:t>
      </w:r>
      <w:r>
        <w:t>Распределить расходы по государственной пошлине в части требований о взыскании процентов и неустойки пропорционально размеру удовлетворённых требований (ч. 1 ст. 98 ГПК РФ).</w:t>
      </w:r>
    </w:p>
    <w:p>
      <w:pPr>
        <w:spacing w:after="120"/>
        <w:jc w:val="both"/>
      </w:pPr>
      <w:r>
        <w:rPr>
          <w:b w:val="0"/>
          <w:i w:val="0"/>
          <w:sz w:val="24"/>
        </w:rPr>
      </w:r>
    </w:p>
    <w:p>
      <w:pPr>
        <w:spacing w:after="40"/>
        <w:jc w:val="left"/>
      </w:pPr>
      <w:r>
        <w:rPr>
          <w:b/>
          <w:i w:val="0"/>
          <w:sz w:val="24"/>
        </w:rPr>
        <w:t>Приложения:</w:t>
      </w:r>
    </w:p>
    <w:p>
      <w:pPr>
        <w:spacing w:after="40"/>
        <w:ind w:left="425" w:hanging="425"/>
        <w:jc w:val="both"/>
      </w:pPr>
      <w:r>
        <w:t>1. Контррасчёт процентов по ключевой ставке Банка России на 26.08.2026.</w:t>
      </w:r>
    </w:p>
    <w:p>
      <w:pPr>
        <w:spacing w:after="40"/>
        <w:ind w:left="425" w:hanging="425"/>
        <w:jc w:val="both"/>
      </w:pPr>
      <w:r>
        <w:t>2. Копии кассовых чеков №№ 5-10 от 26.08.2026 — 8 листов.</w:t>
      </w:r>
    </w:p>
    <w:p>
      <w:pPr>
        <w:spacing w:after="40"/>
        <w:ind w:left="425" w:hanging="425"/>
        <w:jc w:val="both"/>
      </w:pPr>
      <w:r>
        <w:t>3. Копия настоящих возражений для Истца с документом о направлении.</w:t>
      </w:r>
    </w:p>
    <w:p>
      <w:pPr>
        <w:spacing w:after="240"/>
        <w:jc w:val="both"/>
      </w:pPr>
      <w:r>
        <w:rPr>
          <w:b w:val="0"/>
          <w:i w:val="0"/>
          <w:sz w:val="24"/>
        </w:rPr>
      </w:r>
    </w:p>
    <w:p>
      <w:pPr>
        <w:spacing w:after="240"/>
        <w:jc w:val="left"/>
      </w:pPr>
      <w:r>
        <w:rPr>
          <w:b w:val="0"/>
          <w:i w:val="0"/>
          <w:sz w:val="24"/>
        </w:rPr>
        <w:t>«____» _____________ 2026 г.</w:t>
      </w:r>
    </w:p>
    <w:p>
      <w:pPr>
        <w:spacing w:after="120"/>
        <w:jc w:val="left"/>
      </w:pPr>
      <w:r>
        <w:rPr>
          <w:b w:val="0"/>
          <w:i w:val="0"/>
          <w:sz w:val="24"/>
        </w:rPr>
        <w:t>Директор ООО «СК Авангард»  ______________________ /_________________/</w:t>
      </w:r>
    </w:p>
    <w:p>
      <w:pPr>
        <w:spacing w:after="0"/>
        <w:jc w:val="left"/>
      </w:pPr>
      <w:r>
        <w:rPr>
          <w:b w:val="0"/>
          <w:i w:val="0"/>
          <w:sz w:val="24"/>
        </w:rPr>
        <w:t>Тюрин А. В.  ______________________</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