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КОНТРРАСЧЁТ</w:t>
      </w:r>
    </w:p>
    <w:p>
      <w:pPr>
        <w:spacing w:after="0"/>
        <w:jc w:val="center"/>
      </w:pPr>
      <w:r>
        <w:rPr>
          <w:b/>
          <w:i w:val="0"/>
          <w:sz w:val="24"/>
        </w:rPr>
        <w:t>процентов за пользование чужими денежными средствами по ключевой ставке Банка России</w:t>
      </w:r>
    </w:p>
    <w:p>
      <w:pPr>
        <w:spacing w:after="40"/>
        <w:jc w:val="center"/>
      </w:pPr>
      <w:r>
        <w:rPr>
          <w:b w:val="0"/>
          <w:i w:val="0"/>
          <w:sz w:val="24"/>
        </w:rPr>
        <w:t>по договору поставки № 1349 от 14.07.2022 на 26.08.2026 (дата оплаты долга)</w:t>
      </w:r>
    </w:p>
    <w:p>
      <w:pPr>
        <w:spacing w:after="200"/>
        <w:jc w:val="center"/>
      </w:pPr>
      <w:r>
        <w:rPr>
          <w:b w:val="0"/>
          <w:i w:val="0"/>
          <w:sz w:val="24"/>
        </w:rPr>
        <w:t>Дело № 2-1674/2026</w:t>
      </w:r>
    </w:p>
    <w:p>
      <w:pPr>
        <w:spacing w:after="80"/>
        <w:jc w:val="left"/>
      </w:pPr>
      <w:r>
        <w:rPr>
          <w:b/>
          <w:i w:val="0"/>
          <w:sz w:val="24"/>
        </w:rPr>
        <w:t>Раздел 1. Проценты на фактически просроченные партии товара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Расчёт произведён на восемь партий товара, оплаченных 26.08.2026, исходя из ключевой ставки Банка России 18% годовых по формуле: сумма × дней × 18% ÷ 365.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60"/>
        <w:gridCol w:w="2060"/>
        <w:gridCol w:w="2060"/>
        <w:gridCol w:w="2060"/>
        <w:gridCol w:w="2060"/>
        <w:gridCol w:w="2060"/>
        <w:gridCol w:w="2060"/>
      </w:tblGrid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 отгрузки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Счёт-фактура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Сумма, руб.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Дней просрочки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 ставке ЦБ 18%, руб.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Начислено Истцом, руб.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Разница, руб.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7186 от 16.04.2026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10 437,92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99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509,60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5 166,77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4 657,17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8082 от 24.04.2026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20 340,91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92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922,86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9 356,82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8 433,96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8083 от 24.04.2026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806,31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92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36,58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370,90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334,32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8086 от 24.04.2026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4 050,68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92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183,78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1 863,31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1 679,53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8507 от 29.04.2026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20 363,90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853,61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8 654,66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7 801,05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8757 от 30.04.2026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8 210,60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85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344,17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3 489,51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3 145,34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12.05.2026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9830 от 12.05.2026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20 046,06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741,43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7 517,27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6 775,84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13.05.2026</w:t>
            </w:r>
          </w:p>
        </w:tc>
        <w:tc>
          <w:tcPr>
            <w:tcW w:type="dxa" w:w="2060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10056 от 13.05.2026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2 011,44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74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73,40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744,23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670,83</w:t>
            </w:r>
          </w:p>
        </w:tc>
      </w:tr>
      <w:tr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ИТОГО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86 267,82</w:t>
            </w:r>
          </w:p>
        </w:tc>
        <w:tc>
          <w:tcPr>
            <w:tcW w:type="dxa" w:w="206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3 665,44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37 163,47</w:t>
            </w:r>
          </w:p>
        </w:tc>
        <w:tc>
          <w:tcPr>
            <w:tcW w:type="dxa" w:w="2060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33 498,03</w:t>
            </w:r>
          </w:p>
        </w:tc>
      </w:tr>
    </w:tbl>
    <w:p>
      <w:pPr>
        <w:spacing w:after="160"/>
        <w:jc w:val="both"/>
      </w:pPr>
      <w:r>
        <w:rPr>
          <w:b w:val="0"/>
          <w:i w:val="0"/>
          <w:sz w:val="24"/>
        </w:rPr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Обоснованный размер процентов составляет 3 665,44 руб. Истцом заявлено 37 163,47 руб., то есть в 10.1 раза больше.</w:t>
      </w:r>
    </w:p>
    <w:p>
      <w:pPr>
        <w:spacing w:after="160"/>
        <w:jc w:val="both"/>
      </w:pPr>
      <w:r>
        <w:rPr>
          <w:b w:val="0"/>
          <w:i w:val="0"/>
          <w:sz w:val="24"/>
        </w:rPr>
      </w:r>
    </w:p>
    <w:p>
      <w:pPr>
        <w:spacing w:after="80"/>
        <w:jc w:val="left"/>
      </w:pPr>
      <w:r>
        <w:rPr>
          <w:b/>
          <w:i w:val="0"/>
          <w:sz w:val="24"/>
        </w:rPr>
        <w:t>Раздел 2. Проценты, начисленные на полностью оплаченные поставки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Из общей суммы процентов, заявленной Истцом, на партии товара, оплаченные до предъявления иска, приходится: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08"/>
        <w:gridCol w:w="4808"/>
        <w:gridCol w:w="4808"/>
      </w:tblGrid>
      <w:tr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Сумма, руб.</w:t>
            </w:r>
          </w:p>
        </w:tc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Доля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Всего процентов заявлено Истцом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116 033,18</w:t>
            </w:r>
          </w:p>
        </w:tc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100.0%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 том числе на восемь просроченных партий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37 163,47</w:t>
            </w:r>
          </w:p>
        </w:tc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32.0%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 том числе на полностью оплаченные поставки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78 869,71</w:t>
            </w:r>
          </w:p>
        </w:tc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68.0%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4"/>
        </w:rPr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Сумма 78 869 руб. 71 коп. совпадает в первоначальном и уточнённом расчётах Истца, что подтверждает: начисления на оплаченные поставки зафиксированы ранее и при уточнении требований не пересматривались. Указанная сумма подлежит исключению из расчёта.</w:t>
      </w:r>
    </w:p>
    <w:p>
      <w:pPr>
        <w:spacing w:after="160"/>
        <w:jc w:val="both"/>
      </w:pPr>
      <w:r>
        <w:rPr>
          <w:b w:val="0"/>
          <w:i w:val="0"/>
          <w:sz w:val="24"/>
        </w:rPr>
      </w:r>
    </w:p>
    <w:p>
      <w:pPr>
        <w:spacing w:after="80"/>
        <w:jc w:val="left"/>
      </w:pPr>
      <w:r>
        <w:rPr>
          <w:b/>
          <w:i w:val="0"/>
          <w:sz w:val="24"/>
        </w:rPr>
        <w:t>Раздел 3. Сопоставление применённых ставок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606"/>
        <w:gridCol w:w="3606"/>
        <w:gridCol w:w="3606"/>
        <w:gridCol w:w="3606"/>
      </w:tblGrid>
      <w:tr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Вид начисления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Ставка в день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Годовых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Превышение ключевой ставки ЦБ (18%)</w:t>
            </w:r>
          </w:p>
        </w:tc>
      </w:tr>
      <w:tr>
        <w:tc>
          <w:tcPr>
            <w:tcW w:type="dxa" w:w="360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Проценты по п. 4.4 договора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0,5%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182,5%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 10,1 раза</w:t>
            </w:r>
          </w:p>
        </w:tc>
      </w:tr>
      <w:tr>
        <w:tc>
          <w:tcPr>
            <w:tcW w:type="dxa" w:w="360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Неустойка по п. 7.2 договора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0,1%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36,5%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 2,0 раза</w:t>
            </w:r>
          </w:p>
        </w:tc>
      </w:tr>
      <w:tr>
        <w:tc>
          <w:tcPr>
            <w:tcW w:type="dxa" w:w="360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Совокупно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0,6%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219,0%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в 12,2 раза</w:t>
            </w:r>
          </w:p>
        </w:tc>
      </w:tr>
      <w:tr>
        <w:tc>
          <w:tcPr>
            <w:tcW w:type="dxa" w:w="360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Ключевая ставка Банка России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0,049%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18,0%</w:t>
            </w:r>
          </w:p>
        </w:tc>
        <w:tc>
          <w:tcPr>
            <w:tcW w:type="dxa" w:w="360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</w:tbl>
    <w:p>
      <w:pPr>
        <w:spacing w:after="160"/>
        <w:jc w:val="both"/>
      </w:pPr>
      <w:r>
        <w:rPr>
          <w:b w:val="0"/>
          <w:i w:val="0"/>
          <w:sz w:val="24"/>
        </w:rPr>
      </w:r>
    </w:p>
    <w:p>
      <w:pPr>
        <w:spacing w:after="80"/>
        <w:jc w:val="left"/>
      </w:pPr>
      <w:r>
        <w:rPr>
          <w:b/>
          <w:i w:val="0"/>
          <w:sz w:val="24"/>
        </w:rPr>
        <w:t>Раздел 4. Итоговое сопоставление требований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08"/>
        <w:gridCol w:w="4808"/>
        <w:gridCol w:w="4808"/>
      </w:tblGrid>
      <w:tr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Требование</w:t>
            </w:r>
          </w:p>
        </w:tc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Заявлено Истцом, руб.</w:t>
            </w:r>
          </w:p>
        </w:tc>
        <w:tc>
          <w:tcPr>
            <w:tcW w:type="dxa" w:w="480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 расчёту Ответчиков, руб.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Основной долг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0,00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0,00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Проценты за пользование коммерческим кредитом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116 033,18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3 665,44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Неустойка за просрочку оплаты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23 206,64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0,00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Государственная пошлина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7 625,00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по ч. 1 ст. 98, ч. 1 ст. 101 ГПК РФ</w:t>
            </w:r>
          </w:p>
        </w:tc>
      </w:tr>
      <w:tr>
        <w:tc>
          <w:tcPr>
            <w:tcW w:type="dxa" w:w="480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ИТОГО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139 239,82 + пошлина</w:t>
            </w:r>
          </w:p>
        </w:tc>
        <w:tc>
          <w:tcPr>
            <w:tcW w:type="dxa" w:w="4808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3 665,44 + пошлина</w:t>
            </w:r>
          </w:p>
        </w:tc>
      </w:tr>
    </w:tbl>
    <w:p>
      <w:pPr>
        <w:spacing w:after="160"/>
        <w:jc w:val="both"/>
      </w:pPr>
      <w:r>
        <w:rPr>
          <w:b w:val="0"/>
          <w:i w:val="0"/>
          <w:sz w:val="24"/>
        </w:rPr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Неустойка исключена как двойная мера ответственности за одно нарушение: сумма 23 206 руб. 64 коп. составляет ровно 1/5 от суммы процентов, что соответствует соотношению ставок 0,1% и 0,5% в день и подтверждает начисление на одну базу за один период.</w:t>
      </w:r>
    </w:p>
    <w:p>
      <w:pPr>
        <w:spacing w:after="120"/>
        <w:ind w:firstLine="709"/>
        <w:jc w:val="both"/>
      </w:pPr>
      <w:r>
        <w:rPr>
          <w:b w:val="0"/>
          <w:i w:val="0"/>
          <w:sz w:val="24"/>
        </w:rPr>
        <w:t>Государственная пошлина в размере 7 625 руб. исчислена Истцом верно от первоначальной цены иска 220 849 руб. 18 коп. на дату подачи иска 20.08.2026. Расходы по пошлине в части основного долга, погашенного после возбуждения дела, относятся на Ответчиков (ч. 1 ст. 101 ГПК РФ); в части процентов и неустойки подлежат распределению пропорционально размеру удовлетворённых требований (ч. 1 ст. 98 ГПК РФ).</w:t>
      </w:r>
    </w:p>
    <w:p>
      <w:pPr>
        <w:spacing w:after="280"/>
        <w:jc w:val="both"/>
      </w:pPr>
      <w:r>
        <w:rPr>
          <w:b w:val="0"/>
          <w:i w:val="0"/>
          <w:sz w:val="24"/>
        </w:rPr>
      </w:r>
    </w:p>
    <w:p>
      <w:pPr>
        <w:spacing w:after="160"/>
        <w:jc w:val="left"/>
      </w:pPr>
      <w:r>
        <w:rPr>
          <w:b w:val="0"/>
          <w:i w:val="0"/>
          <w:sz w:val="24"/>
        </w:rPr>
        <w:t>Директор ООО «СК Авангард»  ______________________ /_________________/</w:t>
      </w:r>
    </w:p>
    <w:p>
      <w:pPr>
        <w:spacing w:after="0"/>
        <w:jc w:val="left"/>
      </w:pPr>
      <w:r>
        <w:rPr>
          <w:b w:val="0"/>
          <w:i w:val="0"/>
          <w:sz w:val="24"/>
        </w:rPr>
        <w:t>«____» _____________ 2026 г.</w:t>
      </w:r>
    </w:p>
    <w:sectPr w:rsidR="00FC693F" w:rsidRPr="0006063C" w:rsidSect="00034616">
      <w:pgSz w:w="15840" w:h="12240" w:orient="landscape"/>
      <w:pgMar w:top="850" w:right="56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