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ЭКСПЕРТНОЕ ЗАКЛЮЧЕНИЕ</w:t>
      </w:r>
    </w:p>
    <w:p>
      <w:pPr>
        <w:spacing w:after="40"/>
        <w:jc w:val="center"/>
      </w:pPr>
      <w:r>
        <w:rPr>
          <w:b/>
          <w:i w:val="0"/>
          <w:sz w:val="24"/>
        </w:rPr>
        <w:t>по заявке в «Сколково»: платформа профессионального нетворкинга</w:t>
      </w:r>
    </w:p>
    <w:p>
      <w:pPr>
        <w:spacing w:after="40"/>
        <w:jc w:val="center"/>
      </w:pPr>
      <w:r>
        <w:rPr>
          <w:b w:val="0"/>
          <w:i/>
          <w:sz w:val="20"/>
        </w:rPr>
        <w:t>Проверка расчётов, оценка рисков, альтернативный сценарий</w:t>
      </w:r>
    </w:p>
    <w:p>
      <w:pPr>
        <w:spacing w:after="280"/>
        <w:jc w:val="center"/>
      </w:pPr>
      <w:r>
        <w:rPr>
          <w:b w:val="0"/>
          <w:i w:val="0"/>
          <w:sz w:val="20"/>
        </w:rPr>
        <w:t>Сентябрь 2026 г.</w:t>
      </w:r>
    </w:p>
    <w:p>
      <w:pPr>
        <w:spacing w:before="160" w:after="80"/>
        <w:jc w:val="left"/>
      </w:pPr>
      <w:r>
        <w:rPr>
          <w:b/>
          <w:sz w:val="28"/>
        </w:rPr>
        <w:t>Резюме: что в плане верно и что неверно</w:t>
      </w:r>
    </w:p>
    <w:p>
      <w:pPr>
        <w:spacing w:after="120"/>
        <w:ind w:firstLine="567"/>
        <w:jc w:val="both"/>
      </w:pPr>
      <w:r>
        <w:rPr>
          <w:b/>
          <w:i w:val="0"/>
        </w:rPr>
        <w:t>План проработан значительно лучше среднего: структура заявки, разделение на юрлица, акцент на технической новизне вместо интерфейса — всё это правильно. Но три вывода в нём ошибочны, и один из них — ключевой, определяющий выбор стратегии.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Утверждение плана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Оценка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Нужно отдельное юрлицо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Верно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Правило 70/30 действительно нарушится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Соцсеть как таковая — не инновация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Верно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Ключевое понимание, многие на этом срезаются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Нужен человек с B2B-продажами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Верно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Самое частое основание для отказа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Экономия 15–25 млн ₽ в 1-й год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ОШИБКА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Реально около 4,7 млн ₽ — см. расчёт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Сколково выгоднее IT-аккредитации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ОШИБКА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На ранней стадии наоборот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Две заявки параллельно — хорошо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Спорно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Распыление ресурса на старте</w:t>
            </w:r>
          </w:p>
        </w:tc>
      </w:tr>
    </w:tbl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Ошибка 1. Налоговая экономия завышена в 3–5 раз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В плане указано: «для команды из 10 человек со средней зарплатой 300 тыс. ₽ годовая экономия на налогах — 15–25 млн ₽ в первый год». Эта цифра не выдерживает проверки.</w:t>
      </w:r>
    </w:p>
    <w:p>
      <w:pPr>
        <w:spacing w:after="40"/>
        <w:ind w:firstLine="567"/>
        <w:jc w:val="both"/>
      </w:pPr>
      <w:r>
        <w:rPr>
          <w:b/>
          <w:i w:val="0"/>
        </w:rPr>
        <w:t>Почему. Экономия складывается из трёх льгот, но две из них на старте не работают:</w:t>
      </w:r>
    </w:p>
    <w:p>
      <w:pPr>
        <w:spacing w:after="60"/>
        <w:ind w:left="454" w:hanging="227"/>
        <w:jc w:val="both"/>
      </w:pPr>
      <w:r>
        <w:rPr>
          <w:sz w:val="22"/>
        </w:rPr>
        <w:t>— Налог на прибыль 0% вместо 25%. При нулевой выручке в первый год прибыли нет — экономить не с чего. Ноль рублей.</w:t>
      </w:r>
    </w:p>
    <w:p>
      <w:pPr>
        <w:spacing w:after="60"/>
        <w:ind w:left="454" w:hanging="227"/>
        <w:jc w:val="both"/>
      </w:pPr>
      <w:r>
        <w:rPr>
          <w:sz w:val="22"/>
        </w:rPr>
        <w:t>— НДС 0%. Без выручки НДС не начисляется. Ноль рублей.</w:t>
      </w:r>
    </w:p>
    <w:p>
      <w:pPr>
        <w:spacing w:after="60"/>
        <w:ind w:left="454" w:hanging="227"/>
        <w:jc w:val="both"/>
      </w:pPr>
      <w:r>
        <w:rPr>
          <w:sz w:val="22"/>
        </w:rPr>
        <w:t>— Страховые взносы — единственная реально работающая льгота на старте.</w:t>
      </w:r>
    </w:p>
    <w:p>
      <w:pPr>
        <w:spacing w:after="40"/>
        <w:ind w:firstLine="567"/>
        <w:jc w:val="both"/>
      </w:pPr>
      <w:r>
        <w:rPr>
          <w:b/>
          <w:i w:val="0"/>
        </w:rPr>
        <w:t>Расчёт по взносам. Фонд оплаты труда: 10 человек × 300 000 ₽ × 12 месяцев = 36 млн ₽ в год.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Режим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Взносы за год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Разница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Обычный (30%)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10,8 млн ₽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Сколково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6,13 млн ₽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экономия 4,67 млн ₽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IT-аккредитация (7,6%)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2,74 млн ₽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экономия 8,06 млн ₽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/>
          <w:i w:val="0"/>
        </w:rPr>
        <w:t>Реальная экономия от статуса «Сколково» в первый год — около 4,7 млн ₽, а не 15–25 млн. Разница принципиальна: она меняет ответ на вопрос, стоит ли овчинка выделки.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Заявленные 15–25 млн появятся позже — когда пойдёт выручка и появится прибыль. Но это третий-четвёртый год, а не первый.</w:t>
      </w:r>
    </w:p>
    <w:p>
      <w:pPr>
        <w:spacing w:before="160" w:after="80"/>
        <w:jc w:val="left"/>
      </w:pPr>
      <w:r>
        <w:rPr>
          <w:b/>
          <w:sz w:val="28"/>
        </w:rPr>
        <w:t>Ошибка 2. Вывод про IT-аккредитацию перевёрнут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План утверждает: «Сколково выгоднее при нулевой выручке на ранней стадии». Из таблицы выше видно обратное.</w:t>
      </w:r>
    </w:p>
    <w:p>
      <w:pPr>
        <w:spacing w:after="120"/>
        <w:ind w:firstLine="567"/>
        <w:jc w:val="both"/>
      </w:pPr>
      <w:r>
        <w:rPr>
          <w:b/>
          <w:i w:val="0"/>
        </w:rPr>
        <w:t>При нулевой выручке налог на прибыль равен нулю в обоих режимах — сравнивать по нему нечего. А по страховым взносам IT-аккредитация даёт ставку 7,6% против сколковской схемы «30% до полутора МРОТ, 15% сверх». На зарплатах 300 тыс. ₽ это делает аккредитацию дешевле примерно на 3,4 млн ₽ в год.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Аккредитация при этом оформляется за недели, а не за месяцы, и не требует экспертизы пятью экспертами.</w:t>
      </w:r>
    </w:p>
    <w:p>
      <w:pPr>
        <w:spacing w:after="120"/>
        <w:ind w:firstLine="567"/>
        <w:jc w:val="both"/>
      </w:pPr>
      <w:r>
        <w:rPr>
          <w:b/>
          <w:i w:val="0"/>
        </w:rPr>
        <w:t>Где «Сколково» действительно выигрывает — это гранты. Не налоги.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Именно грантовая линия (в плане упомянута верно) может дать десятки миллионов, которых у аккредитации нет в принципе. Но грант — вероятностная величина: он не выдаётся автоматически вместе со статусом, под него подаётся отдельная заявка со своим конкурсом. Строить финансовую модель на нём как на гарантированном источнике нельзя.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Главный риск: вы строите не то, что защищаете</w:t>
      </w:r>
    </w:p>
    <w:p>
      <w:pPr>
        <w:spacing w:after="120"/>
        <w:ind w:firstLine="567"/>
        <w:jc w:val="both"/>
      </w:pPr>
      <w:r>
        <w:rPr>
          <w:b/>
          <w:i w:val="0"/>
        </w:rPr>
        <w:t>Это важнее налоговых расчётов. План предлагает защищать перед экспертами графовую нейросеть для матчинга профессиональных связей. Технически это корректный объект инновации. Но есть проблема, которая в плане не отражена.</w:t>
      </w:r>
    </w:p>
    <w:p>
      <w:pPr>
        <w:spacing w:after="120"/>
        <w:ind w:firstLine="567"/>
        <w:jc w:val="both"/>
      </w:pPr>
      <w:r>
        <w:rPr>
          <w:b/>
          <w:i w:val="0"/>
        </w:rPr>
        <w:t>Графовая модель матчинга работает на графе связей. Если пользователей нет — графа нет. Нет графа — нечего предсказывать, не на чем обучаться, нечем мерить Recall@K. Технологическое ядро проекта физически не может заработать до того, как наберётся критическая масса пользователей.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Это классическая проблема «холодного старта» социальных платформ, и именно на ней погибло большинство попыток построить российский аналог LinkedIn. Она не решается качеством алгоритма — она решается дистрибуцией.</w:t>
      </w:r>
    </w:p>
    <w:p>
      <w:pPr>
        <w:spacing w:after="40"/>
        <w:ind w:firstLine="567"/>
        <w:jc w:val="both"/>
      </w:pPr>
      <w:r>
        <w:rPr>
          <w:b/>
          <w:i w:val="0"/>
        </w:rPr>
        <w:t>Что это означает практически:</w:t>
      </w:r>
    </w:p>
    <w:p>
      <w:pPr>
        <w:spacing w:after="60"/>
        <w:ind w:left="454" w:hanging="227"/>
        <w:jc w:val="both"/>
      </w:pPr>
      <w:r>
        <w:rPr>
          <w:sz w:val="22"/>
        </w:rPr>
        <w:t>— Метрики в заявке (Recall@K, F1-score) придётся считать на синтетических или заимствованных данных. Опытный эксперт это увидит и задаст вопрос.</w:t>
      </w:r>
    </w:p>
    <w:p>
      <w:pPr>
        <w:spacing w:after="60"/>
        <w:ind w:left="454" w:hanging="227"/>
        <w:jc w:val="both"/>
      </w:pPr>
      <w:r>
        <w:rPr>
          <w:sz w:val="22"/>
        </w:rPr>
        <w:t>— Бенчмарк против TenChat и hh.ru, который план предлагает как доказательство новизны, потребует их данных. Легального способа получить сопоставимую выборку у вас нет.</w:t>
      </w:r>
    </w:p>
    <w:p>
      <w:pPr>
        <w:spacing w:after="60"/>
        <w:ind w:left="454" w:hanging="227"/>
        <w:jc w:val="both"/>
      </w:pPr>
      <w:r>
        <w:rPr>
          <w:sz w:val="22"/>
        </w:rPr>
        <w:t>— Даже при получении статуса и гранта основная задача останется нерешённой: привлечение первых десятков тысяч профессионалов стоит дороже, чем разработка алгоритма.</w:t>
      </w:r>
    </w:p>
    <w:p>
      <w:pPr>
        <w:spacing w:after="120"/>
        <w:ind w:firstLine="567"/>
        <w:jc w:val="both"/>
      </w:pPr>
      <w:r>
        <w:rPr>
          <w:b/>
          <w:i w:val="0"/>
        </w:rPr>
        <w:t>Вывод: техническая часть заявки выглядит сильной, но она защищает компонент, который бесполезен без того, чего у проекта нет и что стоит дороже всего.</w:t>
      </w:r>
    </w:p>
    <w:p>
      <w:pPr>
        <w:spacing w:before="160" w:after="80"/>
        <w:jc w:val="left"/>
      </w:pPr>
      <w:r>
        <w:rPr>
          <w:b/>
          <w:sz w:val="28"/>
        </w:rPr>
        <w:t>Второй риск: рынок уже занят, и не слабыми игроками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План упоминает TenChat, «Сетку» и «Профессионалы.ru» как аналоги с более слабыми алгоритмами. Технически это может быть правдой. Коммерчески это не имеет значения.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«Сетка» развивается внутри экосистемы HeadHunter — с готовой базой резюме, узнаваемым брендом и бюджетом на продвижение. TenChat набрал аудиторию на волне ухода LinkedIn и активной работы с лидерами мнений. Ни один из них не выиграл за счёт качества матчинга — оба выиграли за счёт дистрибуции.</w:t>
      </w:r>
    </w:p>
    <w:p>
      <w:pPr>
        <w:spacing w:after="120"/>
        <w:ind w:firstLine="567"/>
        <w:jc w:val="both"/>
      </w:pPr>
      <w:r>
        <w:rPr>
          <w:b/>
          <w:i w:val="0"/>
        </w:rPr>
        <w:t>Заходить на этот рынок с преимуществом в виде алгоритма — значит соревноваться в том измерении, в котором рынок не принимает решений.</w:t>
      </w:r>
    </w:p>
    <w:p>
      <w:pPr>
        <w:spacing w:before="160" w:after="80"/>
        <w:jc w:val="left"/>
      </w:pPr>
      <w:r>
        <w:rPr>
          <w:b/>
          <w:sz w:val="28"/>
        </w:rPr>
        <w:t>Третий риск: две заявки параллельно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План называет это «законным и даже рекомендуемым». Формально верно — ограничений нет. Практически это ошибка на текущем этапе.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Каждая заявка требует: отдельного юрлица с уставом и ОКВЭД, регистрации РИД, писем о намерениях от потенциальных заказчиков, команды из трёх-четырёх человек с подтверждённой квалификацией, подготовки материалов и прохождения экспертизы. Это месяцы работы руководителя — того же самого человека в обоих случаях.</w:t>
      </w:r>
    </w:p>
    <w:p>
      <w:pPr>
        <w:spacing w:after="120"/>
        <w:ind w:firstLine="567"/>
        <w:jc w:val="both"/>
      </w:pPr>
      <w:r>
        <w:rPr>
          <w:b/>
          <w:i w:val="0"/>
        </w:rPr>
        <w:t>При ограниченном ресурсе две параллельные заявки дают не двойную вероятность успеха, а две наполовину подготовленные заявки.</w:t>
      </w:r>
    </w:p>
    <w:p>
      <w:r>
        <w:br w:type="page"/>
      </w:r>
    </w:p>
    <w:p>
      <w:pPr>
        <w:spacing w:before="160" w:after="80"/>
        <w:jc w:val="left"/>
      </w:pPr>
      <w:r>
        <w:rPr>
          <w:b/>
          <w:sz w:val="28"/>
        </w:rPr>
        <w:t>Сравнение двух направлений: какое подавать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Если выбирать одно — выбор не в пользу нетворкинга.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Критерий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АгроТех</w:t>
            </w:r>
          </w:p>
        </w:tc>
        <w:tc>
          <w:tcPr>
            <w:tcW w:type="dxa" w:w="3419"/>
            <w:shd w:fill="E8E8E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Нетворкинг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Есть работающий продукт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Да, АгроПорт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Нет, только замысел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Есть реальные данные для модели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Да, снимки по регионам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Нет, граф пуст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Метрики можно измерить сегодня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Да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Нет, не на чем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Доказательство спроса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Действующие пользователи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Только письма о намерениях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Конкуренция на рынке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Умеренная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Экосистемные игроки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Проблема холодного старта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Отсутствует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Критическая</w:t>
            </w:r>
          </w:p>
        </w:tc>
      </w:tr>
      <w:tr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Приоритет для Фонда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АПК и импортозамещение</w:t>
            </w:r>
          </w:p>
        </w:tc>
        <w:tc>
          <w:tcPr>
            <w:tcW w:type="dxa" w:w="3419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Общий ИТ</w:t>
            </w:r>
          </w:p>
        </w:tc>
      </w:tr>
    </w:tbl>
    <w:p>
      <w:pPr>
        <w:spacing w:after="160"/>
        <w:jc w:val="both"/>
      </w:pPr>
      <w:r>
        <w:rPr>
          <w:b w:val="0"/>
          <w:i w:val="0"/>
        </w:rPr>
      </w:r>
    </w:p>
    <w:p>
      <w:pPr>
        <w:spacing w:after="120"/>
        <w:ind w:firstLine="567"/>
        <w:jc w:val="both"/>
      </w:pPr>
      <w:r>
        <w:rPr>
          <w:b/>
          <w:i w:val="0"/>
        </w:rPr>
        <w:t>АгроТех выигрывает по каждому пункту, который проверяют эксперты. У него есть то, чего у нетворкинга нет и не может быть на старте: работающий продукт, реальные данные, измеримые метрики и подтверждённый спрос.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Экспертиза оценивает не красоту замысла, а задел. Заявка с действующим продуктом и цифрами проходит принципиально чаще, чем заявка с архитектурной схемой.</w:t>
      </w:r>
    </w:p>
    <w:p>
      <w:pPr>
        <w:spacing w:before="160" w:after="80"/>
        <w:jc w:val="left"/>
      </w:pPr>
      <w:r>
        <w:rPr>
          <w:b/>
          <w:sz w:val="28"/>
        </w:rPr>
        <w:t>Рекомендуемый сценарий</w:t>
      </w:r>
    </w:p>
    <w:p>
      <w:pPr>
        <w:spacing w:after="40"/>
        <w:ind w:firstLine="567"/>
        <w:jc w:val="both"/>
      </w:pPr>
      <w:r>
        <w:rPr>
          <w:b/>
          <w:i w:val="0"/>
        </w:rPr>
        <w:t>Шаг 1. Подать одну заявку — по АгроТеху. Сейчас.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Использовать готовый задел: работающую платформу, реальные данные, существующих пользователей. Это кратно повышает шансы и даёт опыт прохождения экспертизы, который пригодится для второй заявки.</w:t>
      </w:r>
    </w:p>
    <w:p>
      <w:pPr>
        <w:spacing w:after="40"/>
        <w:ind w:firstLine="567"/>
        <w:jc w:val="both"/>
      </w:pPr>
      <w:r>
        <w:rPr>
          <w:b/>
          <w:i w:val="0"/>
        </w:rPr>
        <w:t>Шаг 2. Параллельно оформить IT-аккредитацию.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Оформляется быстро, даёт ставку взносов 7,6% и работает уже сейчас — в отличие от статуса «Сколково», который придёт через несколько месяцев. Совмещать режимы нельзя, поэтому окончательный выбор делается после получения решения по заявке.</w:t>
      </w:r>
    </w:p>
    <w:p>
      <w:pPr>
        <w:spacing w:after="40"/>
        <w:ind w:firstLine="567"/>
        <w:jc w:val="both"/>
      </w:pPr>
      <w:r>
        <w:rPr>
          <w:b/>
          <w:i w:val="0"/>
        </w:rPr>
        <w:t>Шаг 3. Нетворкинг — проверить гипотезу до подачи, а не после.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Прежде чем вкладывать месяцы в заявку, ответить на вопрос, который дороже любого алгоритма: откуда придут первые десять тысяч профессионалов и почему они останутся. Пока на него нет ответа, подача заявки — это трата ресурса на защиту технологии, которой негде работать.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Хороший способ проверки: запустить узкую вертикаль вместо общей платформы. Не «LinkedIn для всех», а сообщество для одной профессиональной ниши, где у вас есть доступ к аудитории. Если в узком сегменте механика матчинга даст результат на реальных людях — появится и граф, и метрики, и доказательство спроса. Тогда заявка станет сильной.</w:t>
      </w:r>
    </w:p>
    <w:p>
      <w:pPr>
        <w:spacing w:after="40"/>
        <w:ind w:firstLine="567"/>
        <w:jc w:val="both"/>
      </w:pPr>
      <w:r>
        <w:rPr>
          <w:b/>
          <w:i w:val="0"/>
        </w:rPr>
        <w:t>Шаг 4. Вернуться ко второй заявке через 6–12 месяцев.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К этому моменту будет пройдена одна экспертиза, появится понимание требований, а у нетворкинга — реальные пользователи вместо схем.</w:t>
      </w:r>
    </w:p>
    <w:p>
      <w:pPr>
        <w:spacing w:before="160" w:after="80"/>
        <w:jc w:val="left"/>
      </w:pPr>
      <w:r>
        <w:rPr>
          <w:b/>
          <w:sz w:val="26"/>
        </w:rPr>
        <w:t>Что в плане стоит сохранить без изменений</w:t>
      </w:r>
    </w:p>
    <w:p>
      <w:pPr>
        <w:spacing w:after="60"/>
        <w:ind w:left="454" w:hanging="227"/>
        <w:jc w:val="both"/>
      </w:pPr>
      <w:r>
        <w:rPr>
          <w:sz w:val="22"/>
        </w:rPr>
        <w:t>— Отдельное юрлицо под каждый проект — правило 70/30 обосновано верно.</w:t>
      </w:r>
    </w:p>
    <w:p>
      <w:pPr>
        <w:spacing w:after="60"/>
        <w:ind w:left="454" w:hanging="227"/>
        <w:jc w:val="both"/>
      </w:pPr>
      <w:r>
        <w:rPr>
          <w:sz w:val="22"/>
        </w:rPr>
        <w:t>— Чёткое отделение собственной разработки от готовых компонентов. Многие заявки отклоняют именно за подмену инновации интерфейсом.</w:t>
      </w:r>
    </w:p>
    <w:p>
      <w:pPr>
        <w:spacing w:after="60"/>
        <w:ind w:left="454" w:hanging="227"/>
        <w:jc w:val="both"/>
      </w:pPr>
      <w:r>
        <w:rPr>
          <w:sz w:val="22"/>
        </w:rPr>
        <w:t>— Регистрация программы для ЭВМ до подачи — надёжное подтверждение задела.</w:t>
      </w:r>
    </w:p>
    <w:p>
      <w:pPr>
        <w:spacing w:after="60"/>
        <w:ind w:left="454" w:hanging="227"/>
        <w:jc w:val="both"/>
      </w:pPr>
      <w:r>
        <w:rPr>
          <w:sz w:val="22"/>
        </w:rPr>
        <w:t>— Человек с опытом B2B-продаж в команде. Это действительно самое уязвимое место, и план верно его называет.</w:t>
      </w:r>
    </w:p>
    <w:p>
      <w:pPr>
        <w:spacing w:after="60"/>
        <w:ind w:left="454" w:hanging="227"/>
        <w:jc w:val="both"/>
      </w:pPr>
      <w:r>
        <w:rPr>
          <w:sz w:val="22"/>
        </w:rPr>
        <w:t>— Письма о намерениях от потенциальных заказчиков — сильный аргумент для экспертов.</w:t>
      </w:r>
    </w:p>
    <w:p>
      <w:pPr>
        <w:spacing w:after="200"/>
        <w:jc w:val="both"/>
      </w:pPr>
      <w:r>
        <w:rPr>
          <w:b w:val="0"/>
          <w:i w:val="0"/>
        </w:rPr>
      </w:r>
    </w:p>
    <w:p>
      <w:pPr>
        <w:spacing w:before="160" w:after="80"/>
        <w:jc w:val="left"/>
      </w:pPr>
      <w:r>
        <w:rPr>
          <w:b/>
          <w:sz w:val="24"/>
        </w:rPr>
        <w:t>Главное в двух предложениях</w:t>
      </w:r>
    </w:p>
    <w:p>
      <w:pPr>
        <w:spacing w:after="120"/>
        <w:ind w:firstLine="567"/>
        <w:jc w:val="both"/>
      </w:pPr>
      <w:r>
        <w:rPr>
          <w:b/>
          <w:i w:val="0"/>
        </w:rPr>
        <w:t>План технически грамотен, но опирается на завышенную оценку выгоды и защищает технологию, которая не может работать без пользователей — а именно их привлечение и есть настоящая задача. Правильный ход: подать одну заявку по АгроТеху, где есть работающий продукт и данные, оформить IT-аккредитацию для немедленной экономии, а нетворкинг сначала проверить на узкой нише и подавать только с реальными пользователями.</w:t>
      </w:r>
    </w:p>
    <w:p>
      <w:pPr>
        <w:spacing w:after="240"/>
        <w:jc w:val="both"/>
      </w:pPr>
      <w:r>
        <w:rPr>
          <w:b w:val="0"/>
          <w:i w:val="0"/>
        </w:rPr>
      </w:r>
    </w:p>
    <w:p>
      <w:pPr>
        <w:spacing w:after="120"/>
        <w:jc w:val="both"/>
      </w:pPr>
      <w:r>
        <w:rPr>
          <w:b w:val="0"/>
          <w:i/>
          <w:sz w:val="18"/>
        </w:rPr>
        <w:t>Расчёты выполнены по параметрам, указанным в исходном плане: 10 сотрудников, средняя зарплата 300 000 ₽, нулевая выручка первого года. Ставки страховых взносов приведены по описанной в плане схеме. Оценки носят аналитический характер; решения по налоговым режимам следует принимать после консультации с профильным юристом и аудитором.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