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right"/>
      </w:pPr>
      <w:r>
        <w:rPr>
          <w:sz w:val="22"/>
        </w:rPr>
        <w:t>В Самарский районный суд г. Самары</w:t>
      </w:r>
    </w:p>
    <w:p>
      <w:pPr>
        <w:spacing w:after="20"/>
        <w:jc w:val="right"/>
      </w:pPr>
      <w:r>
        <w:rPr>
          <w:sz w:val="22"/>
        </w:rPr>
        <w:t>443041, г. Самара, ул. Рабочая, д. 21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Истец: ООО «Декоратор»</w:t>
      </w:r>
    </w:p>
    <w:p>
      <w:pPr>
        <w:spacing w:after="20"/>
        <w:jc w:val="right"/>
      </w:pPr>
      <w:r>
        <w:rPr>
          <w:sz w:val="22"/>
        </w:rPr>
        <w:t>Ответчик 1: ООО «СК Авангард»</w:t>
      </w:r>
    </w:p>
    <w:p>
      <w:pPr>
        <w:spacing w:after="20"/>
        <w:jc w:val="right"/>
      </w:pPr>
      <w:r>
        <w:rPr>
          <w:sz w:val="22"/>
        </w:rPr>
        <w:t>Ответчик 2: Тюрин А.В.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Дело № _______________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  <w:jc w:val="center"/>
      </w:pPr>
      <w:r>
        <w:rPr>
          <w:b/>
          <w:sz w:val="28"/>
        </w:rPr>
        <w:t>КОНТРРАСЧЁТ</w:t>
      </w:r>
    </w:p>
    <w:p>
      <w:pPr>
        <w:spacing w:before="0" w:after="80"/>
        <w:jc w:val="center"/>
      </w:pPr>
      <w:r>
        <w:rPr>
          <w:b/>
          <w:sz w:val="24"/>
        </w:rPr>
        <w:t>процентов и неустойки с анализом расчёта Истца</w:t>
      </w:r>
    </w:p>
    <w:p>
      <w:pPr>
        <w:spacing w:before="0" w:after="80"/>
        <w:jc w:val="center"/>
      </w:pPr>
      <w:r>
        <w:rPr>
          <w:b w:val="0"/>
          <w:sz w:val="22"/>
        </w:rPr>
        <w:t>(приложение к возражениям на исковое заявление)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after="80"/>
        <w:ind w:firstLine="709"/>
        <w:jc w:val="both"/>
      </w:pPr>
      <w:r>
        <w:rPr>
          <w:b w:val="0"/>
        </w:rPr>
        <w:t>Ответчиками проанализирован представленный Истцом «Расчёт процентов за пользование коммерческим кредитом по Договору поставки № 1349 от 14.07.2022 на 17.08.2026». В результате построчной проверки установлено следующее.</w:t>
      </w:r>
    </w:p>
    <w:p>
      <w:pPr>
        <w:spacing w:before="240" w:after="120"/>
      </w:pPr>
      <w:r>
        <w:rPr>
          <w:b/>
          <w:sz w:val="24"/>
        </w:rPr>
        <w:t>1. Основное нарушение: проценты начислены на полностью оплаченные поставки</w:t>
      </w:r>
    </w:p>
    <w:p>
      <w:pPr>
        <w:spacing w:after="80"/>
        <w:ind w:firstLine="709"/>
        <w:jc w:val="both"/>
      </w:pPr>
      <w:r>
        <w:rPr>
          <w:b w:val="0"/>
        </w:rPr>
        <w:t>Расчёт Истца содержит 37 строк с ненулевым начислением процентов. Из них лишь 8 строк относятся к партиям, по которым оплата не поступила. По остальным 29 строкам в графе «Дата оплаты» указана конкретная дата, а в графе «Сумма оплаты» — сумма, равная сумме отгрузки, то есть эти поставки оплачены Ответчиком полностью.</w:t>
      </w:r>
    </w:p>
    <w:p>
      <w:pPr>
        <w:spacing w:after="80"/>
        <w:ind w:firstLine="709"/>
        <w:jc w:val="both"/>
      </w:pPr>
      <w:r>
        <w:rPr>
          <w:b w:val="0"/>
        </w:rPr>
        <w:t>Тем не менее Истец начислил проценты и на эти оплаченные партии: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Основание начисления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Проценты, руб.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Неустойка, руб.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Итого, руб.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Доля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Партии, оплаченные в полном объёме (29 строк)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78 869,71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15 773,95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94 643,66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70,3%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Партии, оставшиеся неоплаченными (8 строк)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33 281,42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6 656,28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39 937,70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29,7%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ВСЕГО заявлено Истцом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112 151,13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22 430,23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134 581,36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100%</w:t>
            </w:r>
          </w:p>
        </w:tc>
      </w:tr>
    </w:tbl>
    <w:p>
      <w:pPr>
        <w:spacing w:before="0" w:after="80"/>
      </w:pPr>
      <w:r>
        <w:rPr>
          <w:b w:val="0"/>
          <w:sz w:val="24"/>
        </w:rPr>
      </w:r>
    </w:p>
    <w:p>
      <w:pPr>
        <w:spacing w:after="80"/>
        <w:ind w:firstLine="709"/>
        <w:jc w:val="both"/>
      </w:pPr>
      <w:r>
        <w:rPr>
          <w:b/>
        </w:rPr>
        <w:t>Таким образом, 94 643 руб. 66 коп., что составляет 70,3% всех заявленных санкций, начислено на поставки, задолженность по которым отсутствует и была погашена Ответчиком в добровольном порядке.</w:t>
      </w:r>
    </w:p>
    <w:p>
      <w:pPr>
        <w:spacing w:after="80"/>
        <w:ind w:firstLine="709"/>
        <w:jc w:val="both"/>
      </w:pPr>
      <w:r>
        <w:rPr>
          <w:b/>
        </w:rPr>
        <w:t>При этом ни одна из 29 оплаченных партий не входит в состав задолженности 86 267 руб. 82 коп. Расчёт задолженности сформирован Истцом исключительно из 8 неоплаченных партий (10 437,92 + 20 340,91 + 806,31 + 4 050,68 + 20 363,90 + 8 210,60 + 20 046,06 + 2 011,44 = 86 267 руб. 82 коп.), что подтверждается итоговой строкой расчёта самого Истца.</w:t>
      </w:r>
    </w:p>
    <w:p>
      <w:pPr>
        <w:spacing w:before="240" w:after="120"/>
      </w:pPr>
      <w:r>
        <w:rPr>
          <w:b/>
          <w:sz w:val="24"/>
        </w:rPr>
        <w:t>2. Расчёт задолженности: сверка с итоговой строкой Истца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247"/>
          </w:tcPr>
          <w:p>
            <w:r/>
            <w:r>
              <w:rPr>
                <w:b/>
                <w:sz w:val="18"/>
              </w:rPr>
              <w:t>№ УПД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Дата отгрузки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Сумма отгрузки, руб.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Дней по расчёту Истца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Проценты Истца, руб.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12697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16.04.2026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10 437,92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4 697,06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14271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24.04.2026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20 340,91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83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8 441,48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14273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24.04.2026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806,31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83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334,62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14277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24.04.2026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4 050,68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83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1 681,03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15066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29.04.2026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20 363,90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7 738,28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15441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30.04.2026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8 210,60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3 120,03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17160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12.05.2026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20 046,06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6 615,20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17562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13.05.2026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2 011,44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653,72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/>
                <w:sz w:val="18"/>
              </w:rPr>
              <w:t>ИТОГО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86 267,82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33 281,42</w:t>
            </w:r>
          </w:p>
        </w:tc>
      </w:tr>
    </w:tbl>
    <w:p>
      <w:pPr>
        <w:spacing w:before="0" w:after="80"/>
      </w:pPr>
      <w:r>
        <w:rPr>
          <w:b w:val="0"/>
          <w:sz w:val="24"/>
        </w:rPr>
      </w:r>
    </w:p>
    <w:p>
      <w:pPr>
        <w:spacing w:after="80"/>
        <w:ind w:firstLine="709"/>
        <w:jc w:val="both"/>
      </w:pPr>
      <w:r>
        <w:rPr>
          <w:b/>
        </w:rPr>
        <w:t>Сумма по восьми неоплаченным партиям в точности совпадает с заявленной задолженностью 86 267 руб. 82 коп. Следовательно, обоснованными могут признаваться начисления только по этим восьми строкам.</w:t>
      </w:r>
    </w:p>
    <w:p>
      <w:pPr>
        <w:spacing w:before="240" w:after="120"/>
      </w:pPr>
      <w:r>
        <w:rPr>
          <w:b/>
          <w:sz w:val="24"/>
        </w:rPr>
        <w:t>3. Противоречие в датах расчёта</w:t>
      </w:r>
    </w:p>
    <w:p>
      <w:pPr>
        <w:spacing w:before="240" w:after="120"/>
      </w:pPr>
      <w:r>
        <w:rPr>
          <w:b/>
        </w:rPr>
        <w:t>2.1. Задолженность погашена 26.08.2026 через кассу Истца</w:t>
      </w:r>
    </w:p>
    <w:p>
      <w:pPr>
        <w:spacing w:after="80"/>
        <w:ind w:firstLine="709"/>
        <w:jc w:val="both"/>
      </w:pPr>
      <w:r>
        <w:rPr>
          <w:b w:val="0"/>
        </w:rPr>
        <w:t>Все восемь партий, образующих спорную задолженность, оплачены Ответчиком-1 26 августа 2026 года наличными денежными средствами в кассу Истца через контрольно-кассовую технику ООО «Декоратор». Оплата произведена отдельным платежом по каждой партии, что подтверждается кассовыми чеками.</w:t>
      </w:r>
    </w:p>
    <w:p>
      <w:pPr>
        <w:spacing w:after="80"/>
        <w:ind w:firstLine="709"/>
        <w:jc w:val="both"/>
      </w:pPr>
      <w:r>
        <w:rPr>
          <w:b/>
        </w:rPr>
        <w:t>Расчёт Истца составлен на 17.08.2026, оплата произведена 26.08.2026. Начисление процентов и неустойки за пределами 26.08.2026 не имеет оснований: просрочка прекращена, задолженность отсутствует.</w:t>
      </w:r>
    </w:p>
    <w:p>
      <w:pPr>
        <w:spacing w:after="80"/>
        <w:ind w:firstLine="709"/>
        <w:jc w:val="both"/>
      </w:pPr>
      <w:r>
        <w:rPr>
          <w:b w:val="0"/>
        </w:rPr>
        <w:t>Фактические периоды просрочки от даты отгрузки до даты оплаты 26.08.2026 составляют: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247"/>
          </w:tcPr>
          <w:p>
            <w:r/>
            <w:r>
              <w:rPr>
                <w:b/>
                <w:sz w:val="18"/>
              </w:rPr>
              <w:t>№ УПД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Дата отгрузки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Сумма, руб.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Дней до оплаты 26.08.2026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Дней по расчёту Истца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12697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16.04.2026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10 437,92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132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14271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24.04.2026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20 340,91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83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14273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24.04.2026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806,31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83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14277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24.04.2026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4 050,68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83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15066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29.04.2026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20 363,90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119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15441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30.04.2026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8 210,60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118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17160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12.05.2026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20 046,06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106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66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17562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13.05.2026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2 011,44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105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65</w:t>
            </w:r>
          </w:p>
        </w:tc>
      </w:tr>
    </w:tbl>
    <w:p>
      <w:pPr>
        <w:spacing w:after="80"/>
        <w:ind w:firstLine="709"/>
        <w:jc w:val="both"/>
      </w:pPr>
      <w:r>
        <w:rPr>
          <w:b w:val="0"/>
        </w:rPr>
        <w:t>Ответчики не оспаривают периоды, применённые Истцом, и производят контррасчёт исходя из указанного им количества дней.</w:t>
      </w:r>
    </w:p>
    <w:p>
      <w:pPr>
        <w:spacing w:after="80"/>
        <w:ind w:firstLine="709"/>
        <w:jc w:val="both"/>
      </w:pPr>
      <w:r>
        <w:rPr>
          <w:b/>
        </w:rPr>
        <w:t>Поскольку задолженность погашена 26.08.2026 в полном объёме, требования о взыскании основного долга и о начислении процентов и неустойки на будущее время по день фактического исполнения удовлетворению не подлежат.</w:t>
      </w:r>
    </w:p>
    <w:p>
      <w:pPr>
        <w:spacing w:after="80"/>
        <w:ind w:firstLine="709"/>
        <w:jc w:val="both"/>
      </w:pPr>
      <w:r>
        <w:rPr>
          <w:b w:val="0"/>
        </w:rPr>
        <w:t>Расчёт озаглавлен «на 17.08.2026», однако в итоговой строке указано: «Задолженность на 17.10.2026 г.». Кроме того, количество дней в графе «Кол-во дней пользования ком. кредитом» не соответствует периоду от даты отгрузки до 17.08.2026: по УПД № 12697 от 16.04.2026 фактически прошло 123 дня, а начислено за 90 дней; по УПД № 17562 от 13.05.2026 прошло 96 дней, начислено 65. Разница составляет 31–34 дня по каждой позиции.</w:t>
      </w:r>
    </w:p>
    <w:p>
      <w:pPr>
        <w:spacing w:after="80"/>
        <w:ind w:firstLine="709"/>
        <w:jc w:val="both"/>
      </w:pPr>
      <w:r>
        <w:rPr>
          <w:b/>
        </w:rPr>
        <w:t>Расчёт содержит внутренние противоречия в датах и периодах, не раскрывает применённую методику определения количества дней и в силу этого не может быть признан достоверным доказательством размера требований.</w:t>
      </w:r>
    </w:p>
    <w:p>
      <w:pPr>
        <w:spacing w:before="240" w:after="120"/>
      </w:pPr>
      <w:r>
        <w:rPr>
          <w:b/>
          <w:sz w:val="24"/>
        </w:rPr>
        <w:t>4. Двойная ответственность подтверждается расчётом Истца</w:t>
      </w:r>
    </w:p>
    <w:p>
      <w:pPr>
        <w:spacing w:after="80"/>
        <w:ind w:firstLine="709"/>
        <w:jc w:val="both"/>
      </w:pPr>
      <w:r>
        <w:rPr>
          <w:b w:val="0"/>
        </w:rPr>
        <w:t>Проверкой установлено, что по всем 37 строкам проценты исчислены по формуле: сумма отгрузки × 0,5% × количество дней. Расхождений не выявлено. Неустойка при этом составляет ровно 1/5 от суммы процентов (112 151,13 / 5 = 22 430,23), что соответствует соотношению ставок 0,1% и 0,5%.</w:t>
      </w:r>
    </w:p>
    <w:p>
      <w:pPr>
        <w:spacing w:after="80"/>
        <w:ind w:firstLine="709"/>
        <w:jc w:val="both"/>
      </w:pPr>
      <w:r>
        <w:rPr>
          <w:b/>
        </w:rPr>
        <w:t>Это означает, что неустойка начислена на ту же базу и за тот же период, что и проценты. Обе санкции применены за одно и то же нарушение — просрочку оплаты, различаясь исключительно наименованием и величиной ставки, что представляет собой двойную меру ответственности.</w:t>
      </w:r>
    </w:p>
    <w:p>
      <w:pPr>
        <w:spacing w:before="240" w:after="120"/>
      </w:pPr>
      <w:r>
        <w:rPr>
          <w:b/>
          <w:sz w:val="24"/>
        </w:rPr>
        <w:t>5. Контррасчёт по ключевой ставке Банка России</w:t>
      </w:r>
    </w:p>
    <w:p>
      <w:pPr>
        <w:spacing w:after="80"/>
        <w:ind w:firstLine="709"/>
        <w:jc w:val="both"/>
      </w:pPr>
      <w:r>
        <w:rPr>
          <w:b w:val="0"/>
        </w:rPr>
        <w:t>Расчёт произведён только по восьми неоплаченным партиям за периоды, указанные самим Истцом: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134"/>
          </w:tcPr>
          <w:p>
            <w:r/>
            <w:r>
              <w:rPr>
                <w:b/>
                <w:sz w:val="18"/>
              </w:rPr>
              <w:t>№ УПД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Сумма, руб.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  <w:t>Дней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Истец (0,5%/день), руб.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ЦБ 16%, руб.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ЦБ 18%, руб.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ЦБ 21%, руб.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12697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10 437,92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4 697,06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411,80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463,27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540,48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14271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20 340,91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8 441,48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740,07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832,58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971,35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14273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806,31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334,62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29,34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33,00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38,50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14277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4 050,68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83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1 681,03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147,38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165,80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193,43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15066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20 363,90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7 738,28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678,42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763,23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890,43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15441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8 210,60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3 120,03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273,54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307,73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359,02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17160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20 046,06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66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6 615,20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579,96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652,46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761,20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17562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2 011,44</w:t>
            </w:r>
          </w:p>
        </w:tc>
        <w:tc>
          <w:tcPr>
            <w:tcW w:type="dxa" w:w="85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653,72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57,31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64,48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75,22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18"/>
              </w:rPr>
              <w:t>ИТОГО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86 267,82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33 281,42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2 917,82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3 282,55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3 829,64</w:t>
            </w:r>
          </w:p>
        </w:tc>
      </w:tr>
    </w:tbl>
    <w:p>
      <w:pPr>
        <w:spacing w:before="0" w:after="80"/>
      </w:pPr>
      <w:r>
        <w:rPr>
          <w:b w:val="0"/>
          <w:sz w:val="24"/>
        </w:rPr>
      </w:r>
    </w:p>
    <w:p>
      <w:pPr>
        <w:spacing w:after="80"/>
        <w:ind w:firstLine="709"/>
        <w:jc w:val="both"/>
      </w:pPr>
      <w:r>
        <w:rPr>
          <w:b/>
        </w:rPr>
        <w:t>Ответчики просят принять за основу расчёт по ставке 18% годовых — 3 282 руб. 55 коп.</w:t>
      </w:r>
    </w:p>
    <w:p>
      <w:pPr>
        <w:spacing w:before="240" w:after="120"/>
      </w:pPr>
      <w:r>
        <w:rPr>
          <w:b/>
          <w:sz w:val="24"/>
        </w:rPr>
        <w:t>6. Итоговое сопоставление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953"/>
          </w:tcPr>
          <w:p>
            <w:r/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Сумма, руб.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8"/>
              </w:rPr>
              <w:t>Заявлено Истцом (проценты + неустойка)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134 581,36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8"/>
              </w:rPr>
              <w:t>Начислено на полностью оплаченные партии (подлежит исключению)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94 643,66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8"/>
              </w:rPr>
              <w:t>Начислено на неоплаченные партии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39 937,70</w:t>
            </w:r>
          </w:p>
        </w:tc>
      </w:tr>
      <w:tr>
        <w:tc>
          <w:tcPr>
            <w:tcW w:type="dxa" w:w="5953"/>
          </w:tcPr>
          <w:p>
            <w:r/>
            <w:r>
              <w:rPr>
                <w:b/>
                <w:sz w:val="18"/>
              </w:rPr>
              <w:t>Компенсация по ключевой ставке ЦБ 18% годовых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3 282,55</w:t>
            </w:r>
          </w:p>
        </w:tc>
      </w:tr>
    </w:tbl>
    <w:p>
      <w:pPr>
        <w:spacing w:before="0" w:after="80"/>
      </w:pPr>
      <w:r>
        <w:rPr>
          <w:b w:val="0"/>
          <w:sz w:val="24"/>
        </w:rPr>
      </w:r>
    </w:p>
    <w:p>
      <w:pPr>
        <w:spacing w:after="80"/>
        <w:ind w:firstLine="709"/>
        <w:jc w:val="both"/>
      </w:pPr>
      <w:r>
        <w:rPr>
          <w:b/>
        </w:rPr>
        <w:t>Ставка 0,5% в день соответствует 182,5% годовых, ставка 0,1% в день — 36,5% годовых, в совокупности 219% годовых. По неоплаченным партиям требования Истца превышают компенсацию по ключевой ставке в 10,1 раза, а с учётом начислений на оплаченные поставки — в 41 раз.</w:t>
      </w:r>
    </w:p>
    <w:p>
      <w:pPr>
        <w:spacing w:before="240" w:after="120"/>
      </w:pPr>
      <w:r>
        <w:rPr>
          <w:b/>
          <w:sz w:val="24"/>
        </w:rPr>
        <w:t>7. Выводы</w:t>
      </w:r>
    </w:p>
    <w:p>
      <w:pPr>
        <w:pStyle w:val="ListNumber"/>
        <w:spacing w:after="60"/>
      </w:pPr>
      <w:r>
        <w:t>70,3% заявленных санкций (94 643 руб. 66 коп.) начислено на поставки, оплаченные в полном объёме, и подлежит исключению.</w:t>
      </w:r>
    </w:p>
    <w:p>
      <w:pPr>
        <w:pStyle w:val="ListNumber"/>
        <w:spacing w:after="60"/>
      </w:pPr>
      <w:r>
        <w:t>Проценты и неустойка начислены на одну базу за один период за одно нарушение — двойная ответственность.</w:t>
      </w:r>
    </w:p>
    <w:p>
      <w:pPr>
        <w:pStyle w:val="ListNumber"/>
        <w:spacing w:after="60"/>
      </w:pPr>
      <w:r>
        <w:t>Расчёт содержит противоречия в датах (17.08.2026 и 17.10.2026) и не раскрывает методику определения количества дней.</w:t>
      </w:r>
    </w:p>
    <w:p>
      <w:pPr>
        <w:pStyle w:val="ListNumber"/>
        <w:spacing w:after="60"/>
      </w:pPr>
      <w:r>
        <w:t>Основной долг 86 267 руб. 82 коп. погашен 26.08.2026 через кассу Истца отдельными платежами по каждой партии; основания для начисления на будущее время отсутствуют.</w:t>
      </w:r>
    </w:p>
    <w:p>
      <w:pPr>
        <w:pStyle w:val="ListNumber"/>
        <w:spacing w:after="60"/>
      </w:pPr>
      <w:r>
        <w:t>Соразмерной последствиям нарушения является сумма 3 282 руб. 55 коп.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after="80"/>
        <w:ind w:firstLine="709"/>
        <w:jc w:val="both"/>
      </w:pPr>
      <w:r>
        <w:rPr>
          <w:b/>
        </w:rPr>
        <w:t>На основании изложенного просим суд исключить из расчёта начисления на оплаченные поставки и снизить размер процентов и неустойки на основании ст. 333 ГК РФ до 3 282 руб. 55 коп.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 w:val="0"/>
          <w:sz w:val="24"/>
        </w:rPr>
        <w:t>«___» __________ 202__ г.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 w:val="0"/>
          <w:sz w:val="24"/>
        </w:rPr>
        <w:t>Директор ООО «СК Авангард»  ____________________ / ______________ /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 w:val="0"/>
          <w:sz w:val="24"/>
        </w:rPr>
        <w:t>Тюрин А.В.  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