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КОММЕРЧЕСКОЕ ПРЕДЛОЖЕНИЕ</w:t>
      </w:r>
    </w:p>
    <w:p>
      <w:pPr>
        <w:spacing w:after="40"/>
        <w:jc w:val="center"/>
      </w:pPr>
      <w:r>
        <w:rPr>
          <w:b/>
          <w:i w:val="0"/>
          <w:sz w:val="24"/>
        </w:rPr>
        <w:t>MVP системы оценки урожайности кедрового стланика по данным БПЛА</w:t>
      </w:r>
    </w:p>
    <w:p>
      <w:pPr>
        <w:spacing w:after="40"/>
        <w:jc w:val="center"/>
      </w:pPr>
      <w:r>
        <w:rPr>
          <w:b w:val="0"/>
          <w:i/>
          <w:sz w:val="20"/>
        </w:rPr>
        <w:t>В ответ на техническое задание версии 1.0 от сентября 2026 г.</w:t>
      </w:r>
    </w:p>
    <w:p>
      <w:pPr>
        <w:spacing w:after="240"/>
        <w:jc w:val="center"/>
      </w:pPr>
      <w:r>
        <w:rPr>
          <w:b w:val="0"/>
          <w:i w:val="0"/>
          <w:sz w:val="20"/>
        </w:rPr>
        <w:t>Заказчик: ООО «КЕДР ЭКСПОРТ»  |  Пилотная территория: Магаданская область</w:t>
      </w:r>
    </w:p>
    <w:p>
      <w:pPr>
        <w:spacing w:before="160" w:after="80"/>
        <w:jc w:val="left"/>
      </w:pPr>
      <w:r>
        <w:rPr>
          <w:b/>
          <w:sz w:val="26"/>
        </w:rPr>
        <w:t>Резюме предложения</w:t>
      </w:r>
    </w:p>
    <w:p>
      <w:pPr>
        <w:spacing w:after="120"/>
        <w:ind w:firstLine="567"/>
        <w:jc w:val="both"/>
      </w:pPr>
      <w:r>
        <w:rPr>
          <w:b w:val="0"/>
          <w:i w:val="0"/>
        </w:rPr>
        <w:t>Задача, поставленная в ТЗ, сформулирована корректно: проверяется не работоспособность детектора, а наличие связи между тем, что видно с воздуха, и тем, что реально собирается на земле. Это принципиально влияет на структуру работ — центр тяжести смещается с обучения модели на корректность полевого эксперимента.</w:t>
      </w:r>
    </w:p>
    <w:p>
      <w:pPr>
        <w:spacing w:after="120"/>
        <w:ind w:firstLine="567"/>
        <w:jc w:val="both"/>
      </w:pPr>
      <w:r>
        <w:rPr>
          <w:b w:val="0"/>
          <w:i w:val="0"/>
        </w:rPr>
        <w:t>Предлагаем разделить MVP на два независимо оплачиваемых блока. Первый — технический аудит реальных снимков: он отвечает на вопрос, различима ли шишка кедрового стланика на RGB-кадрах DJI Mini 2 и с какой высоты. Без этого ответа обучение модели лишено смысла. Второй блок — полноценная разработка: разметка, обучение, валидация, GIS-вывод.</w:t>
      </w:r>
    </w:p>
    <w:p>
      <w:pPr>
        <w:spacing w:after="120"/>
        <w:ind w:firstLine="567"/>
        <w:jc w:val="both"/>
      </w:pPr>
      <w:r>
        <w:rPr>
          <w:b w:val="0"/>
          <w:i w:val="0"/>
        </w:rPr>
        <w:t>Такое разделение защищает бюджет заказчика: если аудит покажет, что RGB-камеры Mini 2 недостаточно, вы узнаете об этом за две недели и небольшие деньги, а не после полного цикла работ.</w:t>
      </w:r>
    </w:p>
    <w:p>
      <w:pPr>
        <w:spacing w:before="160" w:after="80"/>
        <w:jc w:val="left"/>
      </w:pPr>
      <w:r>
        <w:rPr>
          <w:b/>
          <w:sz w:val="26"/>
        </w:rPr>
        <w:t>1. Предлагаемый технический подход</w:t>
      </w:r>
    </w:p>
    <w:p>
      <w:pPr>
        <w:spacing w:after="120"/>
        <w:ind w:firstLine="567"/>
        <w:jc w:val="both"/>
      </w:pPr>
      <w:r>
        <w:rPr>
          <w:b w:val="0"/>
          <w:i w:val="0"/>
        </w:rPr>
        <w:t>Ключевая особенность кедрового стланика — шишки располагаются в верхней части кроны и при съёмке сверху частично видны. Это отличает задачу от оценки урожайности, например, кедра сибирского, где крона закрывает плоды почти полностью. Однако стланик стелется по земле неравномерными куртинами, поэтому геометрия съёмки критична.</w:t>
      </w:r>
    </w:p>
    <w:p>
      <w:pPr>
        <w:spacing w:after="120"/>
        <w:ind w:firstLine="567"/>
        <w:jc w:val="both"/>
      </w:pPr>
      <w:r>
        <w:rPr>
          <w:b w:val="0"/>
          <w:i w:val="0"/>
        </w:rPr>
        <w:t>Работаем по трёхуровневой схеме — каждый следующий уровень подключается, только если предыдущий подтвердился на реальных данных.</w:t>
      </w:r>
    </w:p>
    <w:p>
      <w:pPr>
        <w:spacing w:before="160" w:after="60"/>
        <w:jc w:val="left"/>
      </w:pPr>
      <w:r>
        <w:rPr>
          <w:b/>
          <w:sz w:val="22"/>
        </w:rPr>
        <w:t>Уровень A. Сегментация массивов стланика</w:t>
      </w:r>
    </w:p>
    <w:p>
      <w:pPr>
        <w:spacing w:after="120"/>
        <w:ind w:firstLine="567"/>
        <w:jc w:val="both"/>
      </w:pPr>
      <w:r>
        <w:rPr>
          <w:b w:val="0"/>
          <w:i w:val="0"/>
        </w:rPr>
        <w:t>Отделяем стланик от лиственничного редколесья, ольховника, каменистых россыпей и мари. Модель семантической сегментации (U-Net или SegFormer на предобученном энкодере) по ортомозаике даёт полигоны с площадью в гектарах. Это базовый слой, он нужен в любом случае и достижим гарантированно — текстура стланика хорошо отличима даже на среднем разрешении.</w:t>
      </w:r>
    </w:p>
    <w:p>
      <w:pPr>
        <w:spacing w:before="160" w:after="60"/>
        <w:jc w:val="left"/>
      </w:pPr>
      <w:r>
        <w:rPr>
          <w:b/>
          <w:sz w:val="22"/>
        </w:rPr>
        <w:t>Уровень B. Детекция признаков плодоношения</w:t>
      </w:r>
    </w:p>
    <w:p>
      <w:pPr>
        <w:spacing w:after="120"/>
        <w:ind w:firstLine="567"/>
        <w:jc w:val="both"/>
      </w:pPr>
      <w:r>
        <w:rPr>
          <w:b w:val="0"/>
          <w:i w:val="0"/>
        </w:rPr>
        <w:t>Здесь два сценария, выбор между ними делается по результатам аудита.</w:t>
      </w:r>
    </w:p>
    <w:p>
      <w:pPr>
        <w:spacing w:after="60"/>
        <w:ind w:left="454" w:hanging="227"/>
        <w:jc w:val="both"/>
      </w:pPr>
      <w:r>
        <w:rPr>
          <w:sz w:val="22"/>
        </w:rPr>
        <w:t>— Прямая детекция шишек. Если на снимках с 5-10 м шишки различимы как объекты — обучаем детектор (YOLO-семейство либо RT-DETR) на плотную разметку. Даёт подсчёт штук на площадку.</w:t>
      </w:r>
    </w:p>
    <w:p>
      <w:pPr>
        <w:spacing w:after="60"/>
        <w:ind w:left="454" w:hanging="227"/>
        <w:jc w:val="both"/>
      </w:pPr>
      <w:r>
        <w:rPr>
          <w:sz w:val="22"/>
        </w:rPr>
        <w:t>— Косвенная оценка. Если отдельные шишки неразличимы — переходим к регрессии по текстурным и цветовым признакам куртины. Плодоносящий стланик визуально отличается от неплодоносящего: иной оттенок верхушечных побегов, характерная зернистость кроны. Модель обучается предсказывать индекс урожайности напрямую по фрагменту изображения, сопоставленному с наземным замером.</w:t>
      </w:r>
    </w:p>
    <w:p>
      <w:pPr>
        <w:spacing w:after="120"/>
        <w:ind w:firstLine="567"/>
        <w:jc w:val="both"/>
      </w:pPr>
      <w:r>
        <w:rPr>
          <w:b w:val="0"/>
          <w:i w:val="0"/>
        </w:rPr>
        <w:t>Второй сценарий ТЗ прямо допускает, и на практике он часто оказывается более устойчивым: он не требует идеального разрешения и опирается на совокупность признаков.</w:t>
      </w:r>
    </w:p>
    <w:p>
      <w:pPr>
        <w:spacing w:before="160" w:after="60"/>
        <w:jc w:val="left"/>
      </w:pPr>
      <w:r>
        <w:rPr>
          <w:b/>
          <w:sz w:val="22"/>
        </w:rPr>
        <w:t>Уровень C. Классификация участков и GIS-слой</w:t>
      </w:r>
    </w:p>
    <w:p>
      <w:pPr>
        <w:spacing w:after="120"/>
        <w:ind w:firstLine="567"/>
        <w:jc w:val="both"/>
      </w:pPr>
      <w:r>
        <w:rPr>
          <w:b w:val="0"/>
          <w:i w:val="0"/>
        </w:rPr>
        <w:t>Результаты уровней A и B агрегируются по ячейкам сетки (предлагаем 20×20 м) и переводятся в три класса урожайности. На выходе — GeoJSON с полигонами, атрибутами и confidence, плюс растровый heatmap в GeoTIFF и сводная таблица.</w:t>
      </w:r>
    </w:p>
    <w:p>
      <w:pPr>
        <w:spacing w:before="160" w:after="60"/>
        <w:jc w:val="left"/>
      </w:pPr>
      <w:r>
        <w:rPr>
          <w:b/>
          <w:sz w:val="22"/>
        </w:rPr>
        <w:t>Методологическое замечание</w:t>
      </w:r>
    </w:p>
    <w:p>
      <w:pPr>
        <w:spacing w:after="120"/>
        <w:ind w:firstLine="567"/>
        <w:jc w:val="both"/>
      </w:pPr>
      <w:r>
        <w:rPr>
          <w:b w:val="0"/>
          <w:i w:val="0"/>
        </w:rPr>
        <w:t>Отдельно обращаем внимание на пункт, который в ТЗ не отражён, но определяет достоверность всего результата. Наземные контрольные площадки должны закладываться независимо от визуальной оценки урожайности — то есть их расположение выбирается заранее по координатной сетке, а не по принципу «здесь красиво плодоносит, поставим площадку». Иначе модель обучится на смещённой выборке и покажет завышенное качество, которое не воспроизведётся в реальной работе. Это стандартное требование к полевым экспериментам, и его нарушение — самая частая причина неудач в подобных проектах.</w:t>
      </w:r>
    </w:p>
    <w:p>
      <w:r>
        <w:br w:type="page"/>
      </w:r>
    </w:p>
    <w:p>
      <w:pPr>
        <w:spacing w:before="160" w:after="80"/>
        <w:jc w:val="left"/>
      </w:pPr>
      <w:r>
        <w:rPr>
          <w:b/>
          <w:sz w:val="26"/>
        </w:rPr>
        <w:t>2. Достаточно ли DJI Mini 2</w:t>
      </w:r>
    </w:p>
    <w:p>
      <w:pPr>
        <w:spacing w:after="120"/>
        <w:ind w:firstLine="567"/>
        <w:jc w:val="both"/>
      </w:pPr>
      <w:r>
        <w:rPr>
          <w:b w:val="0"/>
          <w:i w:val="0"/>
        </w:rPr>
        <w:t>Для стартового эксперимента — да, с существенными оговорками. Для промышленной эксплуатации — нет.</w:t>
      </w:r>
    </w:p>
    <w:p>
      <w:pPr>
        <w:spacing w:after="120"/>
        <w:ind w:firstLine="567"/>
        <w:jc w:val="both"/>
      </w:pPr>
      <w:r>
        <w:rPr>
          <w:b w:val="0"/>
          <w:i w:val="0"/>
        </w:rPr>
        <w:t>Расчёт разрешения. Камера Mini 2 имеет матрицу 1/2.3 дюйма, 12 Мп, фокусное расстояние 24 мм в эквиваленте. При съёмке с высоты 10 метров пространственное разрешение составляет примерно 3-4 мм на пиксель. Шишка кедрового стланика имеет длину 4-7 см, то есть занимает порядка 12-20 пикселей по длинной стороне. Этого теоретически достаточно для детекции, но с оговоркой: шишка должна быть не закрыта хвоей и контрастна по отношению к фону.</w:t>
      </w:r>
    </w:p>
    <w:p>
      <w:pPr>
        <w:spacing w:after="120"/>
        <w:ind w:firstLine="567"/>
        <w:jc w:val="both"/>
      </w:pPr>
      <w:r>
        <w:rPr>
          <w:b w:val="0"/>
          <w:i w:val="0"/>
        </w:rPr>
        <w:t>Реальные ограничения, которые мы ожидаем:</w:t>
      </w:r>
    </w:p>
    <w:p>
      <w:pPr>
        <w:spacing w:after="60"/>
        <w:ind w:left="454" w:hanging="227"/>
        <w:jc w:val="both"/>
      </w:pPr>
      <w:r>
        <w:rPr>
          <w:sz w:val="22"/>
        </w:rPr>
        <w:t>— Отсутствие механического затвора. Rolling shutter при движении даёт смаз. Снимать придётся в режиме зависания, а не на ходу — это резко снижает производительность съёмки.</w:t>
      </w:r>
    </w:p>
    <w:p>
      <w:pPr>
        <w:spacing w:after="60"/>
        <w:ind w:left="454" w:hanging="227"/>
        <w:jc w:val="both"/>
      </w:pPr>
      <w:r>
        <w:rPr>
          <w:sz w:val="22"/>
        </w:rPr>
        <w:t>— Нет RTK-привязки. Точность геопозиционирования 1,5-3 метра. Для привязки контрольных площадок этого мало, потребуется независимая фиксация координат площадок GPS-приёмником.</w:t>
      </w:r>
    </w:p>
    <w:p>
      <w:pPr>
        <w:spacing w:after="60"/>
        <w:ind w:left="454" w:hanging="227"/>
        <w:jc w:val="both"/>
      </w:pPr>
      <w:r>
        <w:rPr>
          <w:sz w:val="22"/>
        </w:rPr>
        <w:t>— Ветроустойчивость. Масса менее 250 граммов, заявленная устойчивость до 8,5-10,5 м/с. В условиях Магаданской области в конце лета это существенное ограничение по погодным окнам.</w:t>
      </w:r>
    </w:p>
    <w:p>
      <w:pPr>
        <w:spacing w:after="60"/>
        <w:ind w:left="454" w:hanging="227"/>
        <w:jc w:val="both"/>
      </w:pPr>
      <w:r>
        <w:rPr>
          <w:sz w:val="22"/>
        </w:rPr>
        <w:t>— Динамический диапазон. При ярком солнце тени внутри куртины уходят в чёрное, шишки в тени теряются. Требуется съёмка в пасмурную погоду или в определённые часы.</w:t>
      </w:r>
    </w:p>
    <w:p>
      <w:pPr>
        <w:spacing w:after="60"/>
        <w:ind w:left="454" w:hanging="227"/>
        <w:jc w:val="both"/>
      </w:pPr>
      <w:r>
        <w:rPr>
          <w:sz w:val="22"/>
        </w:rPr>
        <w:t>— Время полёта. Порядка 25-30 минут заявленных, реально 18-22 при низких температурах. На обследование больших площадей не рассчитан.</w:t>
      </w:r>
    </w:p>
    <w:p>
      <w:pPr>
        <w:spacing w:after="120"/>
        <w:ind w:firstLine="567"/>
        <w:jc w:val="both"/>
      </w:pPr>
      <w:r>
        <w:rPr>
          <w:b w:val="0"/>
          <w:i w:val="0"/>
        </w:rPr>
        <w:t>Вывод: Mini 2 закрывает задачу сбора обучающих данных с контрольных площадок. Для этапа 2 понадобится аппарат с механическим затвором и, вероятно, мультиспектральной камерой — но покупать его до подтверждения RGB-гипотезы, как верно указано в ТЗ, преждевременно.</w:t>
      </w:r>
    </w:p>
    <w:p>
      <w:pPr>
        <w:spacing w:before="160" w:after="80"/>
        <w:jc w:val="left"/>
      </w:pPr>
      <w:r>
        <w:rPr>
          <w:b/>
          <w:sz w:val="26"/>
        </w:rPr>
        <w:t>3. Рекомендуемый протокол первого выезда</w:t>
      </w:r>
    </w:p>
    <w:p>
      <w:pPr>
        <w:spacing w:after="120"/>
        <w:ind w:firstLine="567"/>
        <w:jc w:val="both"/>
      </w:pPr>
      <w:r>
        <w:rPr>
          <w:b w:val="0"/>
          <w:i w:val="0"/>
        </w:rPr>
        <w:t>Базовый протокол из ТЗ дополняем и уточняем. Ниже — то, что реально влияет на пригодность материала.</w:t>
      </w:r>
    </w:p>
    <w:tbl>
      <w:tblPr>
        <w:tblW w:type="auto" w:w="0"/>
        <w:tblLook w:firstColumn="1" w:firstRow="1" w:lastColumn="0" w:lastRow="0" w:noHBand="0" w:noVBand="1" w:val="04A0"/>
        <w:jc w:val="center"/>
        <w:tblBorders>
          <w:top w:val="single" w:sz="4" w:color="888888"/>
          <w:left w:val="single" w:sz="4" w:color="888888"/>
          <w:bottom w:val="single" w:sz="4" w:color="888888"/>
          <w:right w:val="single" w:sz="4" w:color="888888"/>
          <w:insideH w:val="single" w:sz="4" w:color="888888"/>
          <w:insideV w:val="single" w:sz="4" w:color="888888"/>
        </w:tblBorders>
      </w:tblPr>
      <w:tblGrid>
        <w:gridCol w:w="5128"/>
        <w:gridCol w:w="5128"/>
      </w:tblGrid>
      <w:tr>
        <w:tc>
          <w:tcPr>
            <w:tcW w:type="dxa" w:w="5128"/>
            <w:shd w:fill="E8E8E8"/>
          </w:tcPr>
          <w:p>
            <w:pPr>
              <w:spacing w:after="40" w:before="40"/>
              <w:jc w:val="left"/>
            </w:pPr>
            <w:r/>
            <w:r>
              <w:rPr>
                <w:rFonts w:ascii="Times New Roman" w:hAnsi="Times New Roman"/>
                <w:b/>
                <w:sz w:val="20"/>
              </w:rPr>
              <w:t>Параметр</w:t>
            </w:r>
          </w:p>
        </w:tc>
        <w:tc>
          <w:tcPr>
            <w:tcW w:type="dxa" w:w="5128"/>
            <w:shd w:fill="E8E8E8"/>
          </w:tcPr>
          <w:p>
            <w:pPr>
              <w:spacing w:after="40" w:before="40"/>
              <w:jc w:val="left"/>
            </w:pPr>
            <w:r/>
            <w:r>
              <w:rPr>
                <w:rFonts w:ascii="Times New Roman" w:hAnsi="Times New Roman"/>
                <w:b/>
                <w:sz w:val="20"/>
              </w:rPr>
              <w:t>Рекомендация</w:t>
            </w:r>
          </w:p>
        </w:tc>
      </w:tr>
      <w:tr>
        <w:tc>
          <w:tcPr>
            <w:tcW w:type="dxa" w:w="5128"/>
          </w:tcPr>
          <w:p>
            <w:pPr>
              <w:spacing w:after="40" w:before="40"/>
              <w:jc w:val="left"/>
            </w:pPr>
            <w:r/>
            <w:r>
              <w:rPr>
                <w:rFonts w:ascii="Times New Roman" w:hAnsi="Times New Roman"/>
                <w:b/>
                <w:sz w:val="20"/>
              </w:rPr>
              <w:t>Высоты</w:t>
            </w:r>
          </w:p>
        </w:tc>
        <w:tc>
          <w:tcPr>
            <w:tcW w:type="dxa" w:w="5128"/>
          </w:tcPr>
          <w:p>
            <w:pPr>
              <w:spacing w:after="40" w:before="40"/>
              <w:jc w:val="left"/>
            </w:pPr>
            <w:r/>
            <w:r>
              <w:rPr>
                <w:rFonts w:ascii="Times New Roman" w:hAnsi="Times New Roman"/>
                <w:b w:val="0"/>
                <w:sz w:val="20"/>
              </w:rPr>
              <w:t>5, 8, 12, 20, 30 м над верхушками растительности. Обязательна фиксация высоты именно над кроной, а не над точкой взлёта — рельеф стланиковых склонов даёт расхождение до 10 м</w:t>
            </w:r>
          </w:p>
        </w:tc>
      </w:tr>
      <w:tr>
        <w:tc>
          <w:tcPr>
            <w:tcW w:type="dxa" w:w="5128"/>
          </w:tcPr>
          <w:p>
            <w:pPr>
              <w:spacing w:after="40" w:before="40"/>
              <w:jc w:val="left"/>
            </w:pPr>
            <w:r/>
            <w:r>
              <w:rPr>
                <w:rFonts w:ascii="Times New Roman" w:hAnsi="Times New Roman"/>
                <w:b/>
                <w:sz w:val="20"/>
              </w:rPr>
              <w:t>Угол камеры</w:t>
            </w:r>
          </w:p>
        </w:tc>
        <w:tc>
          <w:tcPr>
            <w:tcW w:type="dxa" w:w="5128"/>
          </w:tcPr>
          <w:p>
            <w:pPr>
              <w:spacing w:after="40" w:before="40"/>
              <w:jc w:val="left"/>
            </w:pPr>
            <w:r/>
            <w:r>
              <w:rPr>
                <w:rFonts w:ascii="Times New Roman" w:hAnsi="Times New Roman"/>
                <w:b w:val="0"/>
                <w:sz w:val="20"/>
              </w:rPr>
              <w:t>Надир (90°) — основная серия. Дополнительно 60° и 45° на тех же площадках. Наклонная съёмка часто даёт лучшую видимость шишек, поскольку они смотрят вверх-вбок</w:t>
            </w:r>
          </w:p>
        </w:tc>
      </w:tr>
      <w:tr>
        <w:tc>
          <w:tcPr>
            <w:tcW w:type="dxa" w:w="5128"/>
          </w:tcPr>
          <w:p>
            <w:pPr>
              <w:spacing w:after="40" w:before="40"/>
              <w:jc w:val="left"/>
            </w:pPr>
            <w:r/>
            <w:r>
              <w:rPr>
                <w:rFonts w:ascii="Times New Roman" w:hAnsi="Times New Roman"/>
                <w:b/>
                <w:sz w:val="20"/>
              </w:rPr>
              <w:t>Формат</w:t>
            </w:r>
          </w:p>
        </w:tc>
        <w:tc>
          <w:tcPr>
            <w:tcW w:type="dxa" w:w="5128"/>
          </w:tcPr>
          <w:p>
            <w:pPr>
              <w:spacing w:after="40" w:before="40"/>
              <w:jc w:val="left"/>
            </w:pPr>
            <w:r/>
            <w:r>
              <w:rPr>
                <w:rFonts w:ascii="Times New Roman" w:hAnsi="Times New Roman"/>
                <w:b w:val="0"/>
                <w:sz w:val="20"/>
              </w:rPr>
              <w:t>JPEG + DNG обязательно. RAW нужен для оценки, теряются ли детали при внутрикамерной обработке</w:t>
            </w:r>
          </w:p>
        </w:tc>
      </w:tr>
      <w:tr>
        <w:tc>
          <w:tcPr>
            <w:tcW w:type="dxa" w:w="5128"/>
          </w:tcPr>
          <w:p>
            <w:pPr>
              <w:spacing w:after="40" w:before="40"/>
              <w:jc w:val="left"/>
            </w:pPr>
            <w:r/>
            <w:r>
              <w:rPr>
                <w:rFonts w:ascii="Times New Roman" w:hAnsi="Times New Roman"/>
                <w:b/>
                <w:sz w:val="20"/>
              </w:rPr>
              <w:t>Освещение</w:t>
            </w:r>
          </w:p>
        </w:tc>
        <w:tc>
          <w:tcPr>
            <w:tcW w:type="dxa" w:w="5128"/>
          </w:tcPr>
          <w:p>
            <w:pPr>
              <w:spacing w:after="40" w:before="40"/>
              <w:jc w:val="left"/>
            </w:pPr>
            <w:r/>
            <w:r>
              <w:rPr>
                <w:rFonts w:ascii="Times New Roman" w:hAnsi="Times New Roman"/>
                <w:b w:val="0"/>
                <w:sz w:val="20"/>
              </w:rPr>
              <w:t>Сплошная облачность — приоритет. При солнце: съёмка с 10 до 14 часов, избегать бокового света с длинными тенями. Фиксировать облачность в журнале</w:t>
            </w:r>
          </w:p>
        </w:tc>
      </w:tr>
      <w:tr>
        <w:tc>
          <w:tcPr>
            <w:tcW w:type="dxa" w:w="5128"/>
          </w:tcPr>
          <w:p>
            <w:pPr>
              <w:spacing w:after="40" w:before="40"/>
              <w:jc w:val="left"/>
            </w:pPr>
            <w:r/>
            <w:r>
              <w:rPr>
                <w:rFonts w:ascii="Times New Roman" w:hAnsi="Times New Roman"/>
                <w:b/>
                <w:sz w:val="20"/>
              </w:rPr>
              <w:t>Перекрытие</w:t>
            </w:r>
          </w:p>
        </w:tc>
        <w:tc>
          <w:tcPr>
            <w:tcW w:type="dxa" w:w="5128"/>
          </w:tcPr>
          <w:p>
            <w:pPr>
              <w:spacing w:after="40" w:before="40"/>
              <w:jc w:val="left"/>
            </w:pPr>
            <w:r/>
            <w:r>
              <w:rPr>
                <w:rFonts w:ascii="Times New Roman" w:hAnsi="Times New Roman"/>
                <w:b w:val="0"/>
                <w:sz w:val="20"/>
              </w:rPr>
              <w:t>При серийной съёмке площадки — 75% продольное, 65% поперечное. Нужно для построения ортомозаики</w:t>
            </w:r>
          </w:p>
        </w:tc>
      </w:tr>
      <w:tr>
        <w:tc>
          <w:tcPr>
            <w:tcW w:type="dxa" w:w="5128"/>
          </w:tcPr>
          <w:p>
            <w:pPr>
              <w:spacing w:after="40" w:before="40"/>
              <w:jc w:val="left"/>
            </w:pPr>
            <w:r/>
            <w:r>
              <w:rPr>
                <w:rFonts w:ascii="Times New Roman" w:hAnsi="Times New Roman"/>
                <w:b/>
                <w:sz w:val="20"/>
              </w:rPr>
              <w:t>Контрольные площадки</w:t>
            </w:r>
          </w:p>
        </w:tc>
        <w:tc>
          <w:tcPr>
            <w:tcW w:type="dxa" w:w="5128"/>
          </w:tcPr>
          <w:p>
            <w:pPr>
              <w:spacing w:after="40" w:before="40"/>
              <w:jc w:val="left"/>
            </w:pPr>
            <w:r/>
            <w:r>
              <w:rPr>
                <w:rFonts w:ascii="Times New Roman" w:hAnsi="Times New Roman"/>
                <w:b w:val="0"/>
                <w:sz w:val="20"/>
              </w:rPr>
              <w:t>Минимум 25-30 площадок размером 10×10 м. Распределение по классам: не менее 5 площадок на каждый класс урожайности, включая нулевой</w:t>
            </w:r>
          </w:p>
        </w:tc>
      </w:tr>
      <w:tr>
        <w:tc>
          <w:tcPr>
            <w:tcW w:type="dxa" w:w="5128"/>
          </w:tcPr>
          <w:p>
            <w:pPr>
              <w:spacing w:after="40" w:before="40"/>
              <w:jc w:val="left"/>
            </w:pPr>
            <w:r/>
            <w:r>
              <w:rPr>
                <w:rFonts w:ascii="Times New Roman" w:hAnsi="Times New Roman"/>
                <w:b/>
                <w:sz w:val="20"/>
              </w:rPr>
              <w:t>Маркировка</w:t>
            </w:r>
          </w:p>
        </w:tc>
        <w:tc>
          <w:tcPr>
            <w:tcW w:type="dxa" w:w="5128"/>
          </w:tcPr>
          <w:p>
            <w:pPr>
              <w:spacing w:after="40" w:before="40"/>
              <w:jc w:val="left"/>
            </w:pPr>
            <w:r/>
            <w:r>
              <w:rPr>
                <w:rFonts w:ascii="Times New Roman" w:hAnsi="Times New Roman"/>
                <w:b w:val="0"/>
                <w:sz w:val="20"/>
              </w:rPr>
              <w:t>Углы каждой площадки отмечать контрастным маркером (яркая лента, пластиковые вешки) — критично для точного совмещения снимка и наземного замера</w:t>
            </w:r>
          </w:p>
        </w:tc>
      </w:tr>
      <w:tr>
        <w:tc>
          <w:tcPr>
            <w:tcW w:type="dxa" w:w="5128"/>
          </w:tcPr>
          <w:p>
            <w:pPr>
              <w:spacing w:after="40" w:before="40"/>
              <w:jc w:val="left"/>
            </w:pPr>
            <w:r/>
            <w:r>
              <w:rPr>
                <w:rFonts w:ascii="Times New Roman" w:hAnsi="Times New Roman"/>
                <w:b/>
                <w:sz w:val="20"/>
              </w:rPr>
              <w:t>Наземный замер</w:t>
            </w:r>
          </w:p>
        </w:tc>
        <w:tc>
          <w:tcPr>
            <w:tcW w:type="dxa" w:w="5128"/>
          </w:tcPr>
          <w:p>
            <w:pPr>
              <w:spacing w:after="40" w:before="40"/>
              <w:jc w:val="left"/>
            </w:pPr>
            <w:r/>
            <w:r>
              <w:rPr>
                <w:rFonts w:ascii="Times New Roman" w:hAnsi="Times New Roman"/>
                <w:b w:val="0"/>
                <w:sz w:val="20"/>
              </w:rPr>
              <w:t>Подсчёт шишек на всей площадке либо на 4 учётных кустах с фиксацией их доли в проективном покрытии. Вес сырой шишки с известной площади — если возможно</w:t>
            </w:r>
          </w:p>
        </w:tc>
      </w:tr>
      <w:tr>
        <w:tc>
          <w:tcPr>
            <w:tcW w:type="dxa" w:w="5128"/>
          </w:tcPr>
          <w:p>
            <w:pPr>
              <w:spacing w:after="40" w:before="40"/>
              <w:jc w:val="left"/>
            </w:pPr>
            <w:r/>
            <w:r>
              <w:rPr>
                <w:rFonts w:ascii="Times New Roman" w:hAnsi="Times New Roman"/>
                <w:b/>
                <w:sz w:val="20"/>
              </w:rPr>
              <w:t>Журнал съёмки</w:t>
            </w:r>
          </w:p>
        </w:tc>
        <w:tc>
          <w:tcPr>
            <w:tcW w:type="dxa" w:w="5128"/>
          </w:tcPr>
          <w:p>
            <w:pPr>
              <w:spacing w:after="40" w:before="40"/>
              <w:jc w:val="left"/>
            </w:pPr>
            <w:r/>
            <w:r>
              <w:rPr>
                <w:rFonts w:ascii="Times New Roman" w:hAnsi="Times New Roman"/>
                <w:b w:val="0"/>
                <w:sz w:val="20"/>
              </w:rPr>
              <w:t>Дата, время, координаты центра площадки по GPS, высота, угол, облачность, ветер, температура, номер серии кадров</w:t>
            </w:r>
          </w:p>
        </w:tc>
      </w:tr>
      <w:tr>
        <w:tc>
          <w:tcPr>
            <w:tcW w:type="dxa" w:w="5128"/>
          </w:tcPr>
          <w:p>
            <w:pPr>
              <w:spacing w:after="40" w:before="40"/>
              <w:jc w:val="left"/>
            </w:pPr>
            <w:r/>
            <w:r>
              <w:rPr>
                <w:rFonts w:ascii="Times New Roman" w:hAnsi="Times New Roman"/>
                <w:b/>
                <w:sz w:val="20"/>
              </w:rPr>
              <w:t>Повторы</w:t>
            </w:r>
          </w:p>
        </w:tc>
        <w:tc>
          <w:tcPr>
            <w:tcW w:type="dxa" w:w="5128"/>
          </w:tcPr>
          <w:p>
            <w:pPr>
              <w:spacing w:after="40" w:before="40"/>
              <w:jc w:val="left"/>
            </w:pPr>
            <w:r/>
            <w:r>
              <w:rPr>
                <w:rFonts w:ascii="Times New Roman" w:hAnsi="Times New Roman"/>
                <w:b w:val="0"/>
                <w:sz w:val="20"/>
              </w:rPr>
              <w:t>Каждая площадка снимается дважды с интервалом — для оценки воспроизводимости</w:t>
            </w:r>
          </w:p>
        </w:tc>
      </w:tr>
    </w:tbl>
    <w:p>
      <w:pPr>
        <w:spacing w:after="120"/>
        <w:jc w:val="both"/>
      </w:pPr>
      <w:r>
        <w:rPr>
          <w:b w:val="0"/>
          <w:i w:val="0"/>
        </w:rPr>
      </w:r>
    </w:p>
    <w:p>
      <w:pPr>
        <w:spacing w:after="120"/>
        <w:ind w:firstLine="567"/>
        <w:jc w:val="both"/>
      </w:pPr>
      <w:r>
        <w:rPr>
          <w:b w:val="0"/>
          <w:i/>
        </w:rPr>
        <w:t>Передадим шаблон полевого журнала в формате таблицы и краткую инструкцию для оператора до выезда. Готовы провести созвон с оператором перед первым вылетом.</w:t>
      </w:r>
    </w:p>
    <w:p>
      <w:r>
        <w:br w:type="page"/>
      </w:r>
    </w:p>
    <w:p>
      <w:pPr>
        <w:spacing w:before="160" w:after="80"/>
        <w:jc w:val="left"/>
      </w:pPr>
      <w:r>
        <w:rPr>
          <w:b/>
          <w:sz w:val="26"/>
        </w:rPr>
        <w:t>4. Требуемый объём исходных данных</w:t>
      </w:r>
    </w:p>
    <w:p>
      <w:pPr>
        <w:spacing w:after="120"/>
        <w:ind w:firstLine="567"/>
        <w:jc w:val="both"/>
      </w:pPr>
      <w:r>
        <w:rPr>
          <w:b w:val="0"/>
          <w:i w:val="0"/>
        </w:rPr>
        <w:t>Разделяем на два порога: минимум для аудита и минимум для обучения.</w:t>
      </w:r>
    </w:p>
    <w:tbl>
      <w:tblPr>
        <w:tblW w:type="auto" w:w="0"/>
        <w:tblLook w:firstColumn="1" w:firstRow="1" w:lastColumn="0" w:lastRow="0" w:noHBand="0" w:noVBand="1" w:val="04A0"/>
        <w:jc w:val="center"/>
        <w:tblBorders>
          <w:top w:val="single" w:sz="4" w:color="888888"/>
          <w:left w:val="single" w:sz="4" w:color="888888"/>
          <w:bottom w:val="single" w:sz="4" w:color="888888"/>
          <w:right w:val="single" w:sz="4" w:color="888888"/>
          <w:insideH w:val="single" w:sz="4" w:color="888888"/>
          <w:insideV w:val="single" w:sz="4" w:color="888888"/>
        </w:tblBorders>
      </w:tblPr>
      <w:tblGrid>
        <w:gridCol w:w="3419"/>
        <w:gridCol w:w="3419"/>
        <w:gridCol w:w="3419"/>
      </w:tblGrid>
      <w:tr>
        <w:tc>
          <w:tcPr>
            <w:tcW w:type="dxa" w:w="3419"/>
            <w:shd w:fill="E8E8E8"/>
          </w:tcPr>
          <w:p>
            <w:pPr>
              <w:spacing w:after="40" w:before="40"/>
              <w:jc w:val="left"/>
            </w:pPr>
            <w:r/>
            <w:r>
              <w:rPr>
                <w:rFonts w:ascii="Times New Roman" w:hAnsi="Times New Roman"/>
                <w:b/>
                <w:sz w:val="20"/>
              </w:rPr>
              <w:t>Этап</w:t>
            </w:r>
          </w:p>
        </w:tc>
        <w:tc>
          <w:tcPr>
            <w:tcW w:type="dxa" w:w="3419"/>
            <w:shd w:fill="E8E8E8"/>
          </w:tcPr>
          <w:p>
            <w:pPr>
              <w:spacing w:after="40" w:before="40"/>
              <w:jc w:val="left"/>
            </w:pPr>
            <w:r/>
            <w:r>
              <w:rPr>
                <w:rFonts w:ascii="Times New Roman" w:hAnsi="Times New Roman"/>
                <w:b/>
                <w:sz w:val="20"/>
              </w:rPr>
              <w:t>Снимки</w:t>
            </w:r>
          </w:p>
        </w:tc>
        <w:tc>
          <w:tcPr>
            <w:tcW w:type="dxa" w:w="3419"/>
            <w:shd w:fill="E8E8E8"/>
          </w:tcPr>
          <w:p>
            <w:pPr>
              <w:spacing w:after="40" w:before="40"/>
              <w:jc w:val="left"/>
            </w:pPr>
            <w:r/>
            <w:r>
              <w:rPr>
                <w:rFonts w:ascii="Times New Roman" w:hAnsi="Times New Roman"/>
                <w:b/>
                <w:sz w:val="20"/>
              </w:rPr>
              <w:t>Наземные данные</w:t>
            </w:r>
          </w:p>
        </w:tc>
      </w:tr>
      <w:tr>
        <w:tc>
          <w:tcPr>
            <w:tcW w:type="dxa" w:w="3419"/>
          </w:tcPr>
          <w:p>
            <w:pPr>
              <w:spacing w:after="40" w:before="40"/>
              <w:jc w:val="left"/>
            </w:pPr>
            <w:r/>
            <w:r>
              <w:rPr>
                <w:rFonts w:ascii="Times New Roman" w:hAnsi="Times New Roman"/>
                <w:b/>
                <w:sz w:val="20"/>
              </w:rPr>
              <w:t>Технический аудит</w:t>
            </w:r>
          </w:p>
        </w:tc>
        <w:tc>
          <w:tcPr>
            <w:tcW w:type="dxa" w:w="3419"/>
          </w:tcPr>
          <w:p>
            <w:pPr>
              <w:spacing w:after="40" w:before="40"/>
              <w:jc w:val="left"/>
            </w:pPr>
            <w:r/>
            <w:r>
              <w:rPr>
                <w:rFonts w:ascii="Times New Roman" w:hAnsi="Times New Roman"/>
                <w:b w:val="0"/>
                <w:sz w:val="20"/>
              </w:rPr>
              <w:t>150-300 кадров с 6-8 площадок, все высоты и углы, JPEG+DNG</w:t>
            </w:r>
          </w:p>
        </w:tc>
        <w:tc>
          <w:tcPr>
            <w:tcW w:type="dxa" w:w="3419"/>
          </w:tcPr>
          <w:p>
            <w:pPr>
              <w:spacing w:after="40" w:before="40"/>
              <w:jc w:val="left"/>
            </w:pPr>
            <w:r/>
            <w:r>
              <w:rPr>
                <w:rFonts w:ascii="Times New Roman" w:hAnsi="Times New Roman"/>
                <w:b w:val="0"/>
                <w:sz w:val="20"/>
              </w:rPr>
              <w:t>Подсчёт шишек на этих 6-8 площадках</w:t>
            </w:r>
          </w:p>
        </w:tc>
      </w:tr>
      <w:tr>
        <w:tc>
          <w:tcPr>
            <w:tcW w:type="dxa" w:w="3419"/>
          </w:tcPr>
          <w:p>
            <w:pPr>
              <w:spacing w:after="40" w:before="40"/>
              <w:jc w:val="left"/>
            </w:pPr>
            <w:r/>
            <w:r>
              <w:rPr>
                <w:rFonts w:ascii="Times New Roman" w:hAnsi="Times New Roman"/>
                <w:b/>
                <w:sz w:val="20"/>
              </w:rPr>
              <w:t>Обучение модели</w:t>
            </w:r>
          </w:p>
        </w:tc>
        <w:tc>
          <w:tcPr>
            <w:tcW w:type="dxa" w:w="3419"/>
          </w:tcPr>
          <w:p>
            <w:pPr>
              <w:spacing w:after="40" w:before="40"/>
              <w:jc w:val="left"/>
            </w:pPr>
            <w:r/>
            <w:r>
              <w:rPr>
                <w:rFonts w:ascii="Times New Roman" w:hAnsi="Times New Roman"/>
                <w:b w:val="0"/>
                <w:sz w:val="20"/>
              </w:rPr>
              <w:t>2 500-4 000 кадров с 25-30 площадок</w:t>
            </w:r>
          </w:p>
        </w:tc>
        <w:tc>
          <w:tcPr>
            <w:tcW w:type="dxa" w:w="3419"/>
          </w:tcPr>
          <w:p>
            <w:pPr>
              <w:spacing w:after="40" w:before="40"/>
              <w:jc w:val="left"/>
            </w:pPr>
            <w:r/>
            <w:r>
              <w:rPr>
                <w:rFonts w:ascii="Times New Roman" w:hAnsi="Times New Roman"/>
                <w:b w:val="0"/>
                <w:sz w:val="20"/>
              </w:rPr>
              <w:t>Полные замеры по всем площадкам</w:t>
            </w:r>
          </w:p>
        </w:tc>
      </w:tr>
      <w:tr>
        <w:tc>
          <w:tcPr>
            <w:tcW w:type="dxa" w:w="3419"/>
          </w:tcPr>
          <w:p>
            <w:pPr>
              <w:spacing w:after="40" w:before="40"/>
              <w:jc w:val="left"/>
            </w:pPr>
            <w:r/>
            <w:r>
              <w:rPr>
                <w:rFonts w:ascii="Times New Roman" w:hAnsi="Times New Roman"/>
                <w:b/>
                <w:sz w:val="20"/>
              </w:rPr>
              <w:t>Независимый тест</w:t>
            </w:r>
          </w:p>
        </w:tc>
        <w:tc>
          <w:tcPr>
            <w:tcW w:type="dxa" w:w="3419"/>
          </w:tcPr>
          <w:p>
            <w:pPr>
              <w:spacing w:after="40" w:before="40"/>
              <w:jc w:val="left"/>
            </w:pPr>
            <w:r/>
            <w:r>
              <w:rPr>
                <w:rFonts w:ascii="Times New Roman" w:hAnsi="Times New Roman"/>
                <w:b w:val="0"/>
                <w:sz w:val="20"/>
              </w:rPr>
              <w:t>400-600 кадров с 8-10 площадок, не входивших в обучение</w:t>
            </w:r>
          </w:p>
        </w:tc>
        <w:tc>
          <w:tcPr>
            <w:tcW w:type="dxa" w:w="3419"/>
          </w:tcPr>
          <w:p>
            <w:pPr>
              <w:spacing w:after="40" w:before="40"/>
              <w:jc w:val="left"/>
            </w:pPr>
            <w:r/>
            <w:r>
              <w:rPr>
                <w:rFonts w:ascii="Times New Roman" w:hAnsi="Times New Roman"/>
                <w:b w:val="0"/>
                <w:sz w:val="20"/>
              </w:rPr>
              <w:t>Замеры вслепую — оператор не знает прогноз модели</w:t>
            </w:r>
          </w:p>
        </w:tc>
      </w:tr>
    </w:tbl>
    <w:p>
      <w:pPr>
        <w:spacing w:after="120"/>
        <w:jc w:val="both"/>
      </w:pPr>
      <w:r>
        <w:rPr>
          <w:b w:val="0"/>
          <w:i w:val="0"/>
        </w:rPr>
      </w:r>
    </w:p>
    <w:p>
      <w:pPr>
        <w:spacing w:after="120"/>
        <w:ind w:firstLine="567"/>
        <w:jc w:val="both"/>
      </w:pPr>
      <w:r>
        <w:rPr>
          <w:b w:val="0"/>
          <w:i w:val="0"/>
        </w:rPr>
        <w:t>Цифры по кадрам ориентировочные: реальная потребность уточняется после аудита. Если подтвердится сценарий прямой детекции шишек, объём разметки вырастет — размечать придётся каждый объект на кадре. При косвенной оценке достаточно разметки на уровне фрагментов.</w:t>
      </w:r>
    </w:p>
    <w:p>
      <w:pPr>
        <w:spacing w:after="120"/>
        <w:ind w:firstLine="567"/>
        <w:jc w:val="both"/>
      </w:pPr>
      <w:r>
        <w:rPr>
          <w:b w:val="0"/>
          <w:i w:val="0"/>
        </w:rPr>
        <w:t>Критичный момент — разнообразие условий. Тридцать площадок, снятых в один день при одинаковом освещении, дадут модель, которая развалится при первой смене погоды. Нужны минимум 3-4 съёмочных дня с разными условиями.</w:t>
      </w:r>
    </w:p>
    <w:p>
      <w:pPr>
        <w:spacing w:before="160" w:after="80"/>
        <w:jc w:val="left"/>
      </w:pPr>
      <w:r>
        <w:rPr>
          <w:b/>
          <w:sz w:val="26"/>
        </w:rPr>
        <w:t>5. Достижимый результат MVP</w:t>
      </w:r>
    </w:p>
    <w:p>
      <w:pPr>
        <w:spacing w:after="120"/>
        <w:ind w:firstLine="567"/>
        <w:jc w:val="both"/>
      </w:pPr>
      <w:r>
        <w:rPr>
          <w:b w:val="0"/>
          <w:i w:val="0"/>
        </w:rPr>
        <w:t>Формулируем честно, разделяя то, что гарантируем, и то, что зависит от данных.</w:t>
      </w:r>
    </w:p>
    <w:p>
      <w:pPr>
        <w:spacing w:before="160" w:after="60"/>
        <w:jc w:val="left"/>
      </w:pPr>
      <w:r>
        <w:rPr>
          <w:b/>
          <w:sz w:val="22"/>
        </w:rPr>
        <w:t>Достижимо с высокой вероятностью</w:t>
      </w:r>
    </w:p>
    <w:p>
      <w:pPr>
        <w:spacing w:after="60"/>
        <w:ind w:left="454" w:hanging="227"/>
        <w:jc w:val="both"/>
      </w:pPr>
      <w:r>
        <w:rPr>
          <w:sz w:val="22"/>
        </w:rPr>
        <w:t>— Сегментация массивов стланика с точностью IoU 0,75-0,85. Площадь куртин в гектарах, геопривязанный полигональный слой.</w:t>
      </w:r>
    </w:p>
    <w:p>
      <w:pPr>
        <w:spacing w:after="60"/>
        <w:ind w:left="454" w:hanging="227"/>
        <w:jc w:val="both"/>
      </w:pPr>
      <w:r>
        <w:rPr>
          <w:sz w:val="22"/>
        </w:rPr>
        <w:t>— Разделение участков на 3 класса урожайности с accuracy порядка 0,70-0,80 — при условии, что наземных данных достаточно и они собраны корректно.</w:t>
      </w:r>
    </w:p>
    <w:p>
      <w:pPr>
        <w:spacing w:after="60"/>
        <w:ind w:left="454" w:hanging="227"/>
        <w:jc w:val="both"/>
      </w:pPr>
      <w:r>
        <w:rPr>
          <w:sz w:val="22"/>
        </w:rPr>
        <w:t>— Recall по классу «высокая урожайность» 0,85 и выше. ТЗ справедливо выделяет этот показатель как приоритетный: пропустить урожайный массив дороже, чем съездить впустую на средний.</w:t>
      </w:r>
    </w:p>
    <w:p>
      <w:pPr>
        <w:spacing w:after="60"/>
        <w:ind w:left="454" w:hanging="227"/>
        <w:jc w:val="both"/>
      </w:pPr>
      <w:r>
        <w:rPr>
          <w:sz w:val="22"/>
        </w:rPr>
        <w:t>— Полный GIS-слой в GeoJSON/GeoTIFF, таблица по зонам, heatmap.</w:t>
      </w:r>
    </w:p>
    <w:p>
      <w:pPr>
        <w:spacing w:before="160" w:after="60"/>
        <w:jc w:val="left"/>
      </w:pPr>
      <w:r>
        <w:rPr>
          <w:b/>
          <w:sz w:val="22"/>
        </w:rPr>
        <w:t>Под вопросом до получения снимков</w:t>
      </w:r>
    </w:p>
    <w:p>
      <w:pPr>
        <w:spacing w:after="60"/>
        <w:ind w:left="454" w:hanging="227"/>
        <w:jc w:val="both"/>
      </w:pPr>
      <w:r>
        <w:rPr>
          <w:sz w:val="22"/>
        </w:rPr>
        <w:t>— Точный подсчёт отдельных шишек. Зависит от того, насколько они перекрыты хвоей. Реалистичная оценка precision/recall по объектам — 0,6-0,75 при удачном раскладе.</w:t>
      </w:r>
    </w:p>
    <w:p>
      <w:pPr>
        <w:spacing w:after="60"/>
        <w:ind w:left="454" w:hanging="227"/>
        <w:jc w:val="both"/>
      </w:pPr>
      <w:r>
        <w:rPr>
          <w:sz w:val="22"/>
        </w:rPr>
        <w:t>— Пересчёт в килограммы на гектар. На MVP не обещаем: для этого нужна статистика за несколько сезонов, о чём корректно сказано в ТЗ как о задаче этапа 2.</w:t>
      </w:r>
    </w:p>
    <w:p>
      <w:pPr>
        <w:spacing w:before="160" w:after="60"/>
        <w:jc w:val="left"/>
      </w:pPr>
      <w:r>
        <w:rPr>
          <w:b/>
          <w:sz w:val="22"/>
        </w:rPr>
        <w:t>Чего ожидать не стоит</w:t>
      </w:r>
    </w:p>
    <w:p>
      <w:pPr>
        <w:spacing w:after="120"/>
        <w:ind w:firstLine="567"/>
        <w:jc w:val="both"/>
      </w:pPr>
      <w:r>
        <w:rPr>
          <w:b w:val="0"/>
          <w:i w:val="0"/>
        </w:rPr>
        <w:t>Модель, обученная на данных одного сезона и одной территории, будет работать на этой территории. Перенос на другие районы Магаданской области потребует дообучения. Урожайность стланика сильно колеблется по годам, и модель, видевшая один урожайный год, на слабом году может систематически завышать оценку. Это не недостаток подхода, а свойство задачи — закладывайте в планы дообучение по мере накопления данных.</w:t>
      </w:r>
    </w:p>
    <w:p>
      <w:r>
        <w:br w:type="page"/>
      </w:r>
    </w:p>
    <w:p>
      <w:pPr>
        <w:spacing w:before="160" w:after="80"/>
        <w:jc w:val="left"/>
      </w:pPr>
      <w:r>
        <w:rPr>
          <w:b/>
          <w:sz w:val="26"/>
        </w:rPr>
        <w:t>6. Сроки</w:t>
      </w:r>
    </w:p>
    <w:tbl>
      <w:tblPr>
        <w:tblW w:type="auto" w:w="0"/>
        <w:tblLook w:firstColumn="1" w:firstRow="1" w:lastColumn="0" w:lastRow="0" w:noHBand="0" w:noVBand="1" w:val="04A0"/>
        <w:jc w:val="center"/>
        <w:tblBorders>
          <w:top w:val="single" w:sz="4" w:color="888888"/>
          <w:left w:val="single" w:sz="4" w:color="888888"/>
          <w:bottom w:val="single" w:sz="4" w:color="888888"/>
          <w:right w:val="single" w:sz="4" w:color="888888"/>
          <w:insideH w:val="single" w:sz="4" w:color="888888"/>
          <w:insideV w:val="single" w:sz="4" w:color="888888"/>
        </w:tblBorders>
      </w:tblPr>
      <w:tblGrid>
        <w:gridCol w:w="3419"/>
        <w:gridCol w:w="3419"/>
        <w:gridCol w:w="3419"/>
      </w:tblGrid>
      <w:tr>
        <w:tc>
          <w:tcPr>
            <w:tcW w:type="dxa" w:w="3419"/>
            <w:shd w:fill="E8E8E8"/>
          </w:tcPr>
          <w:p>
            <w:pPr>
              <w:spacing w:after="40" w:before="40"/>
              <w:jc w:val="left"/>
            </w:pPr>
            <w:r/>
            <w:r>
              <w:rPr>
                <w:rFonts w:ascii="Times New Roman" w:hAnsi="Times New Roman"/>
                <w:b/>
                <w:sz w:val="20"/>
              </w:rPr>
              <w:t>Этап</w:t>
            </w:r>
          </w:p>
        </w:tc>
        <w:tc>
          <w:tcPr>
            <w:tcW w:type="dxa" w:w="3419"/>
            <w:shd w:fill="E8E8E8"/>
          </w:tcPr>
          <w:p>
            <w:pPr>
              <w:spacing w:after="40" w:before="40"/>
              <w:jc w:val="left"/>
            </w:pPr>
            <w:r/>
            <w:r>
              <w:rPr>
                <w:rFonts w:ascii="Times New Roman" w:hAnsi="Times New Roman"/>
                <w:b/>
                <w:sz w:val="20"/>
              </w:rPr>
              <w:t>Содержание</w:t>
            </w:r>
          </w:p>
        </w:tc>
        <w:tc>
          <w:tcPr>
            <w:tcW w:type="dxa" w:w="3419"/>
            <w:shd w:fill="E8E8E8"/>
          </w:tcPr>
          <w:p>
            <w:pPr>
              <w:spacing w:after="40" w:before="40"/>
              <w:jc w:val="left"/>
            </w:pPr>
            <w:r/>
            <w:r>
              <w:rPr>
                <w:rFonts w:ascii="Times New Roman" w:hAnsi="Times New Roman"/>
                <w:b/>
                <w:sz w:val="20"/>
              </w:rPr>
              <w:t>Срок</w:t>
            </w:r>
          </w:p>
        </w:tc>
      </w:tr>
      <w:tr>
        <w:tc>
          <w:tcPr>
            <w:tcW w:type="dxa" w:w="3419"/>
          </w:tcPr>
          <w:p>
            <w:pPr>
              <w:spacing w:after="40" w:before="40"/>
              <w:jc w:val="left"/>
            </w:pPr>
            <w:r/>
            <w:r>
              <w:rPr>
                <w:rFonts w:ascii="Times New Roman" w:hAnsi="Times New Roman"/>
                <w:b/>
                <w:sz w:val="20"/>
              </w:rPr>
              <w:t>0. Протокол съёмки</w:t>
            </w:r>
          </w:p>
        </w:tc>
        <w:tc>
          <w:tcPr>
            <w:tcW w:type="dxa" w:w="3419"/>
          </w:tcPr>
          <w:p>
            <w:pPr>
              <w:spacing w:after="40" w:before="40"/>
              <w:jc w:val="left"/>
            </w:pPr>
            <w:r/>
            <w:r>
              <w:rPr>
                <w:rFonts w:ascii="Times New Roman" w:hAnsi="Times New Roman"/>
                <w:b w:val="0"/>
                <w:sz w:val="20"/>
              </w:rPr>
              <w:t>Финальный протокол, шаблон журнала, инструктаж оператора</w:t>
            </w:r>
          </w:p>
        </w:tc>
        <w:tc>
          <w:tcPr>
            <w:tcW w:type="dxa" w:w="3419"/>
          </w:tcPr>
          <w:p>
            <w:pPr>
              <w:spacing w:after="40" w:before="40"/>
              <w:jc w:val="left"/>
            </w:pPr>
            <w:r/>
            <w:r>
              <w:rPr>
                <w:rFonts w:ascii="Times New Roman" w:hAnsi="Times New Roman"/>
                <w:b w:val="0"/>
                <w:sz w:val="20"/>
              </w:rPr>
              <w:t>3-5 рабочих дней с момента старта</w:t>
            </w:r>
          </w:p>
        </w:tc>
      </w:tr>
      <w:tr>
        <w:tc>
          <w:tcPr>
            <w:tcW w:type="dxa" w:w="3419"/>
          </w:tcPr>
          <w:p>
            <w:pPr>
              <w:spacing w:after="40" w:before="40"/>
              <w:jc w:val="left"/>
            </w:pPr>
            <w:r/>
            <w:r>
              <w:rPr>
                <w:rFonts w:ascii="Times New Roman" w:hAnsi="Times New Roman"/>
                <w:b/>
                <w:sz w:val="20"/>
              </w:rPr>
              <w:t>1. Технический аудит</w:t>
            </w:r>
          </w:p>
        </w:tc>
        <w:tc>
          <w:tcPr>
            <w:tcW w:type="dxa" w:w="3419"/>
          </w:tcPr>
          <w:p>
            <w:pPr>
              <w:spacing w:after="40" w:before="40"/>
              <w:jc w:val="left"/>
            </w:pPr>
            <w:r/>
            <w:r>
              <w:rPr>
                <w:rFonts w:ascii="Times New Roman" w:hAnsi="Times New Roman"/>
                <w:b w:val="0"/>
                <w:sz w:val="20"/>
              </w:rPr>
              <w:t>Анализ первой выборки, оценка различимости шишек, выбор сценария B, отчёт с рекомендациями</w:t>
            </w:r>
          </w:p>
        </w:tc>
        <w:tc>
          <w:tcPr>
            <w:tcW w:type="dxa" w:w="3419"/>
          </w:tcPr>
          <w:p>
            <w:pPr>
              <w:spacing w:after="40" w:before="40"/>
              <w:jc w:val="left"/>
            </w:pPr>
            <w:r/>
            <w:r>
              <w:rPr>
                <w:rFonts w:ascii="Times New Roman" w:hAnsi="Times New Roman"/>
                <w:b w:val="0"/>
                <w:sz w:val="20"/>
              </w:rPr>
              <w:t>10-14 рабочих дней после получения снимков</w:t>
            </w:r>
          </w:p>
        </w:tc>
      </w:tr>
      <w:tr>
        <w:tc>
          <w:tcPr>
            <w:tcW w:type="dxa" w:w="3419"/>
          </w:tcPr>
          <w:p>
            <w:pPr>
              <w:spacing w:after="40" w:before="40"/>
              <w:jc w:val="left"/>
            </w:pPr>
            <w:r/>
            <w:r>
              <w:rPr>
                <w:rFonts w:ascii="Times New Roman" w:hAnsi="Times New Roman"/>
                <w:b/>
                <w:sz w:val="20"/>
              </w:rPr>
              <w:t>2. Датасет и разметка</w:t>
            </w:r>
          </w:p>
        </w:tc>
        <w:tc>
          <w:tcPr>
            <w:tcW w:type="dxa" w:w="3419"/>
          </w:tcPr>
          <w:p>
            <w:pPr>
              <w:spacing w:after="40" w:before="40"/>
              <w:jc w:val="left"/>
            </w:pPr>
            <w:r/>
            <w:r>
              <w:rPr>
                <w:rFonts w:ascii="Times New Roman" w:hAnsi="Times New Roman"/>
                <w:b w:val="0"/>
                <w:sz w:val="20"/>
              </w:rPr>
              <w:t>Методика разметки, разметка согласованного объёма, контроль качества</w:t>
            </w:r>
          </w:p>
        </w:tc>
        <w:tc>
          <w:tcPr>
            <w:tcW w:type="dxa" w:w="3419"/>
          </w:tcPr>
          <w:p>
            <w:pPr>
              <w:spacing w:after="40" w:before="40"/>
              <w:jc w:val="left"/>
            </w:pPr>
            <w:r/>
            <w:r>
              <w:rPr>
                <w:rFonts w:ascii="Times New Roman" w:hAnsi="Times New Roman"/>
                <w:b w:val="0"/>
                <w:sz w:val="20"/>
              </w:rPr>
              <w:t>3-4 недели</w:t>
            </w:r>
          </w:p>
        </w:tc>
      </w:tr>
      <w:tr>
        <w:tc>
          <w:tcPr>
            <w:tcW w:type="dxa" w:w="3419"/>
          </w:tcPr>
          <w:p>
            <w:pPr>
              <w:spacing w:after="40" w:before="40"/>
              <w:jc w:val="left"/>
            </w:pPr>
            <w:r/>
            <w:r>
              <w:rPr>
                <w:rFonts w:ascii="Times New Roman" w:hAnsi="Times New Roman"/>
                <w:b/>
                <w:sz w:val="20"/>
              </w:rPr>
              <w:t>3. Обучение модели</w:t>
            </w:r>
          </w:p>
        </w:tc>
        <w:tc>
          <w:tcPr>
            <w:tcW w:type="dxa" w:w="3419"/>
          </w:tcPr>
          <w:p>
            <w:pPr>
              <w:spacing w:after="40" w:before="40"/>
              <w:jc w:val="left"/>
            </w:pPr>
            <w:r/>
            <w:r>
              <w:rPr>
                <w:rFonts w:ascii="Times New Roman" w:hAnsi="Times New Roman"/>
                <w:b w:val="0"/>
                <w:sz w:val="20"/>
              </w:rPr>
              <w:t>Сегментация + детекция/регрессия, подбор архитектуры, кросс-валидация</w:t>
            </w:r>
          </w:p>
        </w:tc>
        <w:tc>
          <w:tcPr>
            <w:tcW w:type="dxa" w:w="3419"/>
          </w:tcPr>
          <w:p>
            <w:pPr>
              <w:spacing w:after="40" w:before="40"/>
              <w:jc w:val="left"/>
            </w:pPr>
            <w:r/>
            <w:r>
              <w:rPr>
                <w:rFonts w:ascii="Times New Roman" w:hAnsi="Times New Roman"/>
                <w:b w:val="0"/>
                <w:sz w:val="20"/>
              </w:rPr>
              <w:t>3-4 недели</w:t>
            </w:r>
          </w:p>
        </w:tc>
      </w:tr>
      <w:tr>
        <w:tc>
          <w:tcPr>
            <w:tcW w:type="dxa" w:w="3419"/>
          </w:tcPr>
          <w:p>
            <w:pPr>
              <w:spacing w:after="40" w:before="40"/>
              <w:jc w:val="left"/>
            </w:pPr>
            <w:r/>
            <w:r>
              <w:rPr>
                <w:rFonts w:ascii="Times New Roman" w:hAnsi="Times New Roman"/>
                <w:b/>
                <w:sz w:val="20"/>
              </w:rPr>
              <w:t>4. Валидация</w:t>
            </w:r>
          </w:p>
        </w:tc>
        <w:tc>
          <w:tcPr>
            <w:tcW w:type="dxa" w:w="3419"/>
          </w:tcPr>
          <w:p>
            <w:pPr>
              <w:spacing w:after="40" w:before="40"/>
              <w:jc w:val="left"/>
            </w:pPr>
            <w:r/>
            <w:r>
              <w:rPr>
                <w:rFonts w:ascii="Times New Roman" w:hAnsi="Times New Roman"/>
                <w:b w:val="0"/>
                <w:sz w:val="20"/>
              </w:rPr>
              <w:t>Тест на независимых площадках, сопоставление с наземными данными, расчёт метрик</w:t>
            </w:r>
          </w:p>
        </w:tc>
        <w:tc>
          <w:tcPr>
            <w:tcW w:type="dxa" w:w="3419"/>
          </w:tcPr>
          <w:p>
            <w:pPr>
              <w:spacing w:after="40" w:before="40"/>
              <w:jc w:val="left"/>
            </w:pPr>
            <w:r/>
            <w:r>
              <w:rPr>
                <w:rFonts w:ascii="Times New Roman" w:hAnsi="Times New Roman"/>
                <w:b w:val="0"/>
                <w:sz w:val="20"/>
              </w:rPr>
              <w:t>1,5-2 недели</w:t>
            </w:r>
          </w:p>
        </w:tc>
      </w:tr>
      <w:tr>
        <w:tc>
          <w:tcPr>
            <w:tcW w:type="dxa" w:w="3419"/>
          </w:tcPr>
          <w:p>
            <w:pPr>
              <w:spacing w:after="40" w:before="40"/>
              <w:jc w:val="left"/>
            </w:pPr>
            <w:r/>
            <w:r>
              <w:rPr>
                <w:rFonts w:ascii="Times New Roman" w:hAnsi="Times New Roman"/>
                <w:b/>
                <w:sz w:val="20"/>
              </w:rPr>
              <w:t>5. GIS-вывод и сдача</w:t>
            </w:r>
          </w:p>
        </w:tc>
        <w:tc>
          <w:tcPr>
            <w:tcW w:type="dxa" w:w="3419"/>
          </w:tcPr>
          <w:p>
            <w:pPr>
              <w:spacing w:after="40" w:before="40"/>
              <w:jc w:val="left"/>
            </w:pPr>
            <w:r/>
            <w:r>
              <w:rPr>
                <w:rFonts w:ascii="Times New Roman" w:hAnsi="Times New Roman"/>
                <w:b w:val="0"/>
                <w:sz w:val="20"/>
              </w:rPr>
              <w:t>Экспорт слоёв, документация, передача кода и весов, финальный отчёт</w:t>
            </w:r>
          </w:p>
        </w:tc>
        <w:tc>
          <w:tcPr>
            <w:tcW w:type="dxa" w:w="3419"/>
          </w:tcPr>
          <w:p>
            <w:pPr>
              <w:spacing w:after="40" w:before="40"/>
              <w:jc w:val="left"/>
            </w:pPr>
            <w:r/>
            <w:r>
              <w:rPr>
                <w:rFonts w:ascii="Times New Roman" w:hAnsi="Times New Roman"/>
                <w:b w:val="0"/>
                <w:sz w:val="20"/>
              </w:rPr>
              <w:t>1,5-2 недели</w:t>
            </w:r>
          </w:p>
        </w:tc>
      </w:tr>
    </w:tbl>
    <w:p>
      <w:pPr>
        <w:spacing w:after="120"/>
        <w:jc w:val="both"/>
      </w:pPr>
      <w:r>
        <w:rPr>
          <w:b w:val="0"/>
          <w:i w:val="0"/>
        </w:rPr>
      </w:r>
    </w:p>
    <w:p>
      <w:pPr>
        <w:spacing w:after="120"/>
        <w:ind w:firstLine="567"/>
        <w:jc w:val="both"/>
      </w:pPr>
      <w:r>
        <w:rPr>
          <w:b w:val="0"/>
          <w:i w:val="0"/>
        </w:rPr>
        <w:t>Суммарно от старта аудита до сдачи MVP — 3,5-4,5 месяца. Этапы 2 и 3 частично параллелятся, что уже учтено в оценке.</w:t>
      </w:r>
    </w:p>
    <w:p>
      <w:pPr>
        <w:spacing w:after="120"/>
        <w:ind w:firstLine="567"/>
        <w:jc w:val="both"/>
      </w:pPr>
      <w:r>
        <w:rPr>
          <w:b w:val="0"/>
          <w:i/>
        </w:rPr>
        <w:t>Главный риск по срокам — не разработка, а погода и сезон. Плодоношение стланика имеет узкое окно, и если съёмочные дни сорвутся по метеоусловиям, сдвиг пойдёт на год. Рекомендуем закладывать съёмочные выезды с запасом и начинать сбор данных максимально рано.</w:t>
      </w:r>
    </w:p>
    <w:p>
      <w:pPr>
        <w:spacing w:before="160" w:after="80"/>
        <w:jc w:val="left"/>
      </w:pPr>
      <w:r>
        <w:rPr>
          <w:b/>
          <w:sz w:val="26"/>
        </w:rPr>
        <w:t>7. Стоимость</w:t>
      </w:r>
    </w:p>
    <w:p>
      <w:pPr>
        <w:spacing w:after="120"/>
        <w:ind w:firstLine="567"/>
        <w:jc w:val="both"/>
      </w:pPr>
      <w:r>
        <w:rPr>
          <w:b w:val="0"/>
          <w:i w:val="0"/>
        </w:rPr>
        <w:t>Стоимость приводим поэтапно, как запрошено в пункте 11 ТЗ. Каждый этап оплачивается отдельно, решение о продолжении принимается по результатам предыдущего.</w:t>
      </w:r>
    </w:p>
    <w:tbl>
      <w:tblPr>
        <w:tblW w:type="auto" w:w="0"/>
        <w:tblLook w:firstColumn="1" w:firstRow="1" w:lastColumn="0" w:lastRow="0" w:noHBand="0" w:noVBand="1" w:val="04A0"/>
        <w:jc w:val="center"/>
        <w:tblBorders>
          <w:top w:val="single" w:sz="4" w:color="888888"/>
          <w:left w:val="single" w:sz="4" w:color="888888"/>
          <w:bottom w:val="single" w:sz="4" w:color="888888"/>
          <w:right w:val="single" w:sz="4" w:color="888888"/>
          <w:insideH w:val="single" w:sz="4" w:color="888888"/>
          <w:insideV w:val="single" w:sz="4" w:color="888888"/>
        </w:tblBorders>
      </w:tblPr>
      <w:tblGrid>
        <w:gridCol w:w="3419"/>
        <w:gridCol w:w="3419"/>
        <w:gridCol w:w="3419"/>
      </w:tblGrid>
      <w:tr>
        <w:tc>
          <w:tcPr>
            <w:tcW w:type="dxa" w:w="3419"/>
            <w:shd w:fill="E8E8E8"/>
          </w:tcPr>
          <w:p>
            <w:pPr>
              <w:spacing w:after="40" w:before="40"/>
              <w:jc w:val="left"/>
            </w:pPr>
            <w:r/>
            <w:r>
              <w:rPr>
                <w:rFonts w:ascii="Times New Roman" w:hAnsi="Times New Roman"/>
                <w:b/>
                <w:sz w:val="20"/>
              </w:rPr>
              <w:t>Этап</w:t>
            </w:r>
          </w:p>
        </w:tc>
        <w:tc>
          <w:tcPr>
            <w:tcW w:type="dxa" w:w="3419"/>
            <w:shd w:fill="E8E8E8"/>
          </w:tcPr>
          <w:p>
            <w:pPr>
              <w:spacing w:after="40" w:before="40"/>
              <w:jc w:val="left"/>
            </w:pPr>
            <w:r/>
            <w:r>
              <w:rPr>
                <w:rFonts w:ascii="Times New Roman" w:hAnsi="Times New Roman"/>
                <w:b/>
                <w:sz w:val="20"/>
              </w:rPr>
              <w:t>Состав работ</w:t>
            </w:r>
          </w:p>
        </w:tc>
        <w:tc>
          <w:tcPr>
            <w:tcW w:type="dxa" w:w="3419"/>
            <w:shd w:fill="E8E8E8"/>
          </w:tcPr>
          <w:p>
            <w:pPr>
              <w:spacing w:after="40" w:before="40"/>
              <w:jc w:val="left"/>
            </w:pPr>
            <w:r/>
            <w:r>
              <w:rPr>
                <w:rFonts w:ascii="Times New Roman" w:hAnsi="Times New Roman"/>
                <w:b/>
                <w:sz w:val="20"/>
              </w:rPr>
              <w:t>Стоимость, руб.</w:t>
            </w:r>
          </w:p>
        </w:tc>
      </w:tr>
      <w:tr>
        <w:tc>
          <w:tcPr>
            <w:tcW w:type="dxa" w:w="3419"/>
          </w:tcPr>
          <w:p>
            <w:pPr>
              <w:spacing w:after="40" w:before="40"/>
              <w:jc w:val="left"/>
            </w:pPr>
            <w:r/>
            <w:r>
              <w:rPr>
                <w:rFonts w:ascii="Times New Roman" w:hAnsi="Times New Roman"/>
                <w:b/>
                <w:sz w:val="20"/>
              </w:rPr>
              <w:t>0. Протокол съёмки</w:t>
            </w:r>
          </w:p>
        </w:tc>
        <w:tc>
          <w:tcPr>
            <w:tcW w:type="dxa" w:w="3419"/>
          </w:tcPr>
          <w:p>
            <w:pPr>
              <w:spacing w:after="40" w:before="40"/>
              <w:jc w:val="left"/>
            </w:pPr>
            <w:r/>
            <w:r>
              <w:rPr>
                <w:rFonts w:ascii="Times New Roman" w:hAnsi="Times New Roman"/>
                <w:b w:val="0"/>
                <w:sz w:val="20"/>
              </w:rPr>
              <w:t>Разработка протокола, журнал, инструктаж</w:t>
            </w:r>
          </w:p>
        </w:tc>
        <w:tc>
          <w:tcPr>
            <w:tcW w:type="dxa" w:w="3419"/>
          </w:tcPr>
          <w:p>
            <w:pPr>
              <w:spacing w:after="40" w:before="40"/>
              <w:jc w:val="right"/>
            </w:pPr>
            <w:r/>
            <w:r>
              <w:rPr>
                <w:rFonts w:ascii="Times New Roman" w:hAnsi="Times New Roman"/>
                <w:b w:val="0"/>
                <w:sz w:val="20"/>
              </w:rPr>
              <w:t>Включено в этап 1</w:t>
            </w:r>
          </w:p>
        </w:tc>
      </w:tr>
      <w:tr>
        <w:tc>
          <w:tcPr>
            <w:tcW w:type="dxa" w:w="3419"/>
          </w:tcPr>
          <w:p>
            <w:pPr>
              <w:spacing w:after="40" w:before="40"/>
              <w:jc w:val="left"/>
            </w:pPr>
            <w:r/>
            <w:r>
              <w:rPr>
                <w:rFonts w:ascii="Times New Roman" w:hAnsi="Times New Roman"/>
                <w:b/>
                <w:sz w:val="20"/>
              </w:rPr>
              <w:t>1. Технический аудит</w:t>
            </w:r>
          </w:p>
        </w:tc>
        <w:tc>
          <w:tcPr>
            <w:tcW w:type="dxa" w:w="3419"/>
          </w:tcPr>
          <w:p>
            <w:pPr>
              <w:spacing w:after="40" w:before="40"/>
              <w:jc w:val="left"/>
            </w:pPr>
            <w:r/>
            <w:r>
              <w:rPr>
                <w:rFonts w:ascii="Times New Roman" w:hAnsi="Times New Roman"/>
                <w:b w:val="0"/>
                <w:sz w:val="20"/>
              </w:rPr>
              <w:t>Анализ снимков, отчёт о применимости, выбор сценария</w:t>
            </w:r>
          </w:p>
        </w:tc>
        <w:tc>
          <w:tcPr>
            <w:tcW w:type="dxa" w:w="3419"/>
          </w:tcPr>
          <w:p>
            <w:pPr>
              <w:spacing w:after="40" w:before="40"/>
              <w:jc w:val="right"/>
            </w:pPr>
            <w:r/>
            <w:r>
              <w:rPr>
                <w:rFonts w:ascii="Times New Roman" w:hAnsi="Times New Roman"/>
                <w:b w:val="0"/>
                <w:sz w:val="20"/>
              </w:rPr>
              <w:t>180 000 — 250 000</w:t>
            </w:r>
          </w:p>
        </w:tc>
      </w:tr>
      <w:tr>
        <w:tc>
          <w:tcPr>
            <w:tcW w:type="dxa" w:w="3419"/>
          </w:tcPr>
          <w:p>
            <w:pPr>
              <w:spacing w:after="40" w:before="40"/>
              <w:jc w:val="left"/>
            </w:pPr>
            <w:r/>
            <w:r>
              <w:rPr>
                <w:rFonts w:ascii="Times New Roman" w:hAnsi="Times New Roman"/>
                <w:b/>
                <w:sz w:val="20"/>
              </w:rPr>
              <w:t>2. Датасет и разметка</w:t>
            </w:r>
          </w:p>
        </w:tc>
        <w:tc>
          <w:tcPr>
            <w:tcW w:type="dxa" w:w="3419"/>
          </w:tcPr>
          <w:p>
            <w:pPr>
              <w:spacing w:after="40" w:before="40"/>
              <w:jc w:val="left"/>
            </w:pPr>
            <w:r/>
            <w:r>
              <w:rPr>
                <w:rFonts w:ascii="Times New Roman" w:hAnsi="Times New Roman"/>
                <w:b w:val="0"/>
                <w:sz w:val="20"/>
              </w:rPr>
              <w:t>Методика, разметка, инструмент разметки, контроль</w:t>
            </w:r>
          </w:p>
        </w:tc>
        <w:tc>
          <w:tcPr>
            <w:tcW w:type="dxa" w:w="3419"/>
          </w:tcPr>
          <w:p>
            <w:pPr>
              <w:spacing w:after="40" w:before="40"/>
              <w:jc w:val="right"/>
            </w:pPr>
            <w:r/>
            <w:r>
              <w:rPr>
                <w:rFonts w:ascii="Times New Roman" w:hAnsi="Times New Roman"/>
                <w:b w:val="0"/>
                <w:sz w:val="20"/>
              </w:rPr>
              <w:t>350 000 — 550 000</w:t>
            </w:r>
          </w:p>
        </w:tc>
      </w:tr>
      <w:tr>
        <w:tc>
          <w:tcPr>
            <w:tcW w:type="dxa" w:w="3419"/>
          </w:tcPr>
          <w:p>
            <w:pPr>
              <w:spacing w:after="40" w:before="40"/>
              <w:jc w:val="left"/>
            </w:pPr>
            <w:r/>
            <w:r>
              <w:rPr>
                <w:rFonts w:ascii="Times New Roman" w:hAnsi="Times New Roman"/>
                <w:b/>
                <w:sz w:val="20"/>
              </w:rPr>
              <w:t>3. Обучение модели</w:t>
            </w:r>
          </w:p>
        </w:tc>
        <w:tc>
          <w:tcPr>
            <w:tcW w:type="dxa" w:w="3419"/>
          </w:tcPr>
          <w:p>
            <w:pPr>
              <w:spacing w:after="40" w:before="40"/>
              <w:jc w:val="left"/>
            </w:pPr>
            <w:r/>
            <w:r>
              <w:rPr>
                <w:rFonts w:ascii="Times New Roman" w:hAnsi="Times New Roman"/>
                <w:b w:val="0"/>
                <w:sz w:val="20"/>
              </w:rPr>
              <w:t>Сегментация, детекция/регрессия, эксперименты</w:t>
            </w:r>
          </w:p>
        </w:tc>
        <w:tc>
          <w:tcPr>
            <w:tcW w:type="dxa" w:w="3419"/>
          </w:tcPr>
          <w:p>
            <w:pPr>
              <w:spacing w:after="40" w:before="40"/>
              <w:jc w:val="right"/>
            </w:pPr>
            <w:r/>
            <w:r>
              <w:rPr>
                <w:rFonts w:ascii="Times New Roman" w:hAnsi="Times New Roman"/>
                <w:b w:val="0"/>
                <w:sz w:val="20"/>
              </w:rPr>
              <w:t>450 000 — 650 000</w:t>
            </w:r>
          </w:p>
        </w:tc>
      </w:tr>
      <w:tr>
        <w:tc>
          <w:tcPr>
            <w:tcW w:type="dxa" w:w="3419"/>
          </w:tcPr>
          <w:p>
            <w:pPr>
              <w:spacing w:after="40" w:before="40"/>
              <w:jc w:val="left"/>
            </w:pPr>
            <w:r/>
            <w:r>
              <w:rPr>
                <w:rFonts w:ascii="Times New Roman" w:hAnsi="Times New Roman"/>
                <w:b/>
                <w:sz w:val="20"/>
              </w:rPr>
              <w:t>4. Валидация</w:t>
            </w:r>
          </w:p>
        </w:tc>
        <w:tc>
          <w:tcPr>
            <w:tcW w:type="dxa" w:w="3419"/>
          </w:tcPr>
          <w:p>
            <w:pPr>
              <w:spacing w:after="40" w:before="40"/>
              <w:jc w:val="left"/>
            </w:pPr>
            <w:r/>
            <w:r>
              <w:rPr>
                <w:rFonts w:ascii="Times New Roman" w:hAnsi="Times New Roman"/>
                <w:b w:val="0"/>
                <w:sz w:val="20"/>
              </w:rPr>
              <w:t>Независимый тест, метрики, сопоставление с землёй</w:t>
            </w:r>
          </w:p>
        </w:tc>
        <w:tc>
          <w:tcPr>
            <w:tcW w:type="dxa" w:w="3419"/>
          </w:tcPr>
          <w:p>
            <w:pPr>
              <w:spacing w:after="40" w:before="40"/>
              <w:jc w:val="right"/>
            </w:pPr>
            <w:r/>
            <w:r>
              <w:rPr>
                <w:rFonts w:ascii="Times New Roman" w:hAnsi="Times New Roman"/>
                <w:b w:val="0"/>
                <w:sz w:val="20"/>
              </w:rPr>
              <w:t>200 000 — 280 000</w:t>
            </w:r>
          </w:p>
        </w:tc>
      </w:tr>
      <w:tr>
        <w:tc>
          <w:tcPr>
            <w:tcW w:type="dxa" w:w="3419"/>
          </w:tcPr>
          <w:p>
            <w:pPr>
              <w:spacing w:after="40" w:before="40"/>
              <w:jc w:val="left"/>
            </w:pPr>
            <w:r/>
            <w:r>
              <w:rPr>
                <w:rFonts w:ascii="Times New Roman" w:hAnsi="Times New Roman"/>
                <w:b/>
                <w:sz w:val="20"/>
              </w:rPr>
              <w:t>5. GIS-вывод, сдача</w:t>
            </w:r>
          </w:p>
        </w:tc>
        <w:tc>
          <w:tcPr>
            <w:tcW w:type="dxa" w:w="3419"/>
          </w:tcPr>
          <w:p>
            <w:pPr>
              <w:spacing w:after="40" w:before="40"/>
              <w:jc w:val="left"/>
            </w:pPr>
            <w:r/>
            <w:r>
              <w:rPr>
                <w:rFonts w:ascii="Times New Roman" w:hAnsi="Times New Roman"/>
                <w:b w:val="0"/>
                <w:sz w:val="20"/>
              </w:rPr>
              <w:t>Экспорт, документация, передача артефактов</w:t>
            </w:r>
          </w:p>
        </w:tc>
        <w:tc>
          <w:tcPr>
            <w:tcW w:type="dxa" w:w="3419"/>
          </w:tcPr>
          <w:p>
            <w:pPr>
              <w:spacing w:after="40" w:before="40"/>
              <w:jc w:val="right"/>
            </w:pPr>
            <w:r/>
            <w:r>
              <w:rPr>
                <w:rFonts w:ascii="Times New Roman" w:hAnsi="Times New Roman"/>
                <w:b w:val="0"/>
                <w:sz w:val="20"/>
              </w:rPr>
              <w:t>180 000 — 250 000</w:t>
            </w:r>
          </w:p>
        </w:tc>
      </w:tr>
      <w:tr>
        <w:tc>
          <w:tcPr>
            <w:tcW w:type="dxa" w:w="3419"/>
            <w:shd w:fill="F0F0F0"/>
          </w:tcPr>
          <w:p>
            <w:pPr>
              <w:spacing w:after="40" w:before="40"/>
              <w:jc w:val="left"/>
            </w:pPr>
            <w:r/>
            <w:r>
              <w:rPr>
                <w:rFonts w:ascii="Times New Roman" w:hAnsi="Times New Roman"/>
                <w:b/>
                <w:sz w:val="20"/>
              </w:rPr>
              <w:t>ИТОГО MVP</w:t>
            </w:r>
          </w:p>
        </w:tc>
        <w:tc>
          <w:tcPr>
            <w:tcW w:type="dxa" w:w="3419"/>
            <w:shd w:fill="F0F0F0"/>
          </w:tcPr>
          <w:p>
            <w:pPr>
              <w:spacing w:after="40" w:before="40"/>
              <w:jc w:val="left"/>
            </w:pPr>
            <w:r/>
            <w:r>
              <w:rPr>
                <w:rFonts w:ascii="Times New Roman" w:hAnsi="Times New Roman"/>
                <w:b/>
                <w:sz w:val="20"/>
              </w:rPr>
              <w:t>этапы 1-5</w:t>
            </w:r>
          </w:p>
        </w:tc>
        <w:tc>
          <w:tcPr>
            <w:tcW w:type="dxa" w:w="3419"/>
            <w:shd w:fill="F0F0F0"/>
          </w:tcPr>
          <w:p>
            <w:pPr>
              <w:spacing w:after="40" w:before="40"/>
              <w:jc w:val="right"/>
            </w:pPr>
            <w:r/>
            <w:r>
              <w:rPr>
                <w:rFonts w:ascii="Times New Roman" w:hAnsi="Times New Roman"/>
                <w:b/>
                <w:sz w:val="20"/>
              </w:rPr>
              <w:t>1 360 000 — 1 980 000</w:t>
            </w:r>
          </w:p>
        </w:tc>
      </w:tr>
    </w:tbl>
    <w:p>
      <w:pPr>
        <w:spacing w:after="120"/>
        <w:jc w:val="both"/>
      </w:pPr>
      <w:r>
        <w:rPr>
          <w:b w:val="0"/>
          <w:i w:val="0"/>
        </w:rPr>
      </w:r>
    </w:p>
    <w:p>
      <w:pPr>
        <w:spacing w:after="120"/>
        <w:ind w:firstLine="567"/>
        <w:jc w:val="both"/>
      </w:pPr>
      <w:r>
        <w:rPr>
          <w:b w:val="0"/>
          <w:i w:val="0"/>
        </w:rPr>
        <w:t>Вилка объясняется неопределённостью объёма разметки. После аудита цифры фиксируются точно: если подтвердится косвенная оценка вместо подсчёта шишек, разметка удешевляется ориентировочно на треть.</w:t>
      </w:r>
    </w:p>
    <w:p>
      <w:pPr>
        <w:spacing w:after="120"/>
        <w:ind w:firstLine="567"/>
        <w:jc w:val="both"/>
      </w:pPr>
      <w:r>
        <w:rPr>
          <w:b w:val="0"/>
          <w:i w:val="0"/>
        </w:rPr>
        <w:t>Что не входит в стоимость: полевые работы заказчика, техника, транспорт, GPS-приёмник для привязки площадок, услуги по наземному подсчёту шишек. Вычислительные ресурсы для обучения включены.</w:t>
      </w:r>
    </w:p>
    <w:p>
      <w:pPr>
        <w:spacing w:before="160" w:after="60"/>
        <w:jc w:val="left"/>
      </w:pPr>
      <w:r>
        <w:rPr>
          <w:b/>
          <w:sz w:val="22"/>
        </w:rPr>
        <w:t>Оценка этапа 2</w:t>
      </w:r>
    </w:p>
    <w:p>
      <w:pPr>
        <w:spacing w:after="120"/>
        <w:ind w:firstLine="567"/>
        <w:jc w:val="both"/>
      </w:pPr>
      <w:r>
        <w:rPr>
          <w:b w:val="0"/>
          <w:i w:val="0"/>
        </w:rPr>
        <w:t>Как запрошено в пункте 11.8 ТЗ, даём порядковую оценку без детализации — конкретика возможна только после MVP.</w:t>
      </w:r>
    </w:p>
    <w:p>
      <w:pPr>
        <w:spacing w:after="60"/>
        <w:ind w:left="454" w:hanging="227"/>
        <w:jc w:val="both"/>
      </w:pPr>
      <w:r>
        <w:rPr>
          <w:sz w:val="22"/>
        </w:rPr>
        <w:t>— Автоматическое планирование маршрутов, обработка ортофотопланов больших площадей: 700 000 — 1 200 000 руб.</w:t>
      </w:r>
    </w:p>
    <w:p>
      <w:pPr>
        <w:spacing w:after="60"/>
        <w:ind w:left="454" w:hanging="227"/>
        <w:jc w:val="both"/>
      </w:pPr>
      <w:r>
        <w:rPr>
          <w:sz w:val="22"/>
        </w:rPr>
        <w:t>— Интеграция цифровой модели рельефа, дорожной сети, расчёт экономического индекса участка: 600 000 — 900 000 руб.</w:t>
      </w:r>
    </w:p>
    <w:p>
      <w:pPr>
        <w:spacing w:after="60"/>
        <w:ind w:left="454" w:hanging="227"/>
        <w:jc w:val="both"/>
      </w:pPr>
      <w:r>
        <w:rPr>
          <w:sz w:val="22"/>
        </w:rPr>
        <w:t>— Координация работы 3-4 БПЛА с разделением на сектора: 900 000 — 1 500 000 руб.</w:t>
      </w:r>
    </w:p>
    <w:p>
      <w:pPr>
        <w:spacing w:after="120"/>
        <w:ind w:firstLine="567"/>
        <w:jc w:val="both"/>
      </w:pPr>
      <w:r>
        <w:rPr>
          <w:b w:val="0"/>
          <w:i w:val="0"/>
        </w:rPr>
        <w:t>Срок этапа 2 — 5-8 месяцев в зависимости от выбранного объёма. Отдельно потребуется бюджет на технику: аппарат с механическим затвором и RTK от 400 000 руб. за единицу.</w:t>
      </w:r>
    </w:p>
    <w:p>
      <w:r>
        <w:br w:type="page"/>
      </w:r>
    </w:p>
    <w:p>
      <w:pPr>
        <w:spacing w:before="160" w:after="80"/>
        <w:jc w:val="left"/>
      </w:pPr>
      <w:r>
        <w:rPr>
          <w:b/>
          <w:sz w:val="26"/>
        </w:rPr>
        <w:t>8. Состав команды</w:t>
      </w:r>
    </w:p>
    <w:tbl>
      <w:tblPr>
        <w:tblW w:type="auto" w:w="0"/>
        <w:tblLook w:firstColumn="1" w:firstRow="1" w:lastColumn="0" w:lastRow="0" w:noHBand="0" w:noVBand="1" w:val="04A0"/>
        <w:jc w:val="center"/>
        <w:tblBorders>
          <w:top w:val="single" w:sz="4" w:color="888888"/>
          <w:left w:val="single" w:sz="4" w:color="888888"/>
          <w:bottom w:val="single" w:sz="4" w:color="888888"/>
          <w:right w:val="single" w:sz="4" w:color="888888"/>
          <w:insideH w:val="single" w:sz="4" w:color="888888"/>
          <w:insideV w:val="single" w:sz="4" w:color="888888"/>
        </w:tblBorders>
      </w:tblPr>
      <w:tblGrid>
        <w:gridCol w:w="5128"/>
        <w:gridCol w:w="5128"/>
      </w:tblGrid>
      <w:tr>
        <w:tc>
          <w:tcPr>
            <w:tcW w:type="dxa" w:w="5128"/>
            <w:shd w:fill="E8E8E8"/>
          </w:tcPr>
          <w:p>
            <w:pPr>
              <w:spacing w:after="40" w:before="40"/>
              <w:jc w:val="left"/>
            </w:pPr>
            <w:r/>
            <w:r>
              <w:rPr>
                <w:rFonts w:ascii="Times New Roman" w:hAnsi="Times New Roman"/>
                <w:b/>
                <w:sz w:val="20"/>
              </w:rPr>
              <w:t>Специалист</w:t>
            </w:r>
          </w:p>
        </w:tc>
        <w:tc>
          <w:tcPr>
            <w:tcW w:type="dxa" w:w="5128"/>
            <w:shd w:fill="E8E8E8"/>
          </w:tcPr>
          <w:p>
            <w:pPr>
              <w:spacing w:after="40" w:before="40"/>
              <w:jc w:val="left"/>
            </w:pPr>
            <w:r/>
            <w:r>
              <w:rPr>
                <w:rFonts w:ascii="Times New Roman" w:hAnsi="Times New Roman"/>
                <w:b/>
                <w:sz w:val="20"/>
              </w:rPr>
              <w:t>Зона ответственности</w:t>
            </w:r>
          </w:p>
        </w:tc>
      </w:tr>
      <w:tr>
        <w:tc>
          <w:tcPr>
            <w:tcW w:type="dxa" w:w="5128"/>
          </w:tcPr>
          <w:p>
            <w:pPr>
              <w:spacing w:after="40" w:before="40"/>
              <w:jc w:val="left"/>
            </w:pPr>
            <w:r/>
            <w:r>
              <w:rPr>
                <w:rFonts w:ascii="Times New Roman" w:hAnsi="Times New Roman"/>
                <w:b/>
                <w:sz w:val="20"/>
              </w:rPr>
              <w:t>CV/ML-инженер (ведущий)</w:t>
            </w:r>
          </w:p>
        </w:tc>
        <w:tc>
          <w:tcPr>
            <w:tcW w:type="dxa" w:w="5128"/>
          </w:tcPr>
          <w:p>
            <w:pPr>
              <w:spacing w:after="40" w:before="40"/>
              <w:jc w:val="left"/>
            </w:pPr>
            <w:r/>
            <w:r>
              <w:rPr>
                <w:rFonts w:ascii="Times New Roman" w:hAnsi="Times New Roman"/>
                <w:b w:val="0"/>
                <w:sz w:val="20"/>
              </w:rPr>
              <w:t>Архитектура моделей, обучение, эксперименты, метрики. Полная занятость на этапах 3-4</w:t>
            </w:r>
          </w:p>
        </w:tc>
      </w:tr>
      <w:tr>
        <w:tc>
          <w:tcPr>
            <w:tcW w:type="dxa" w:w="5128"/>
          </w:tcPr>
          <w:p>
            <w:pPr>
              <w:spacing w:after="40" w:before="40"/>
              <w:jc w:val="left"/>
            </w:pPr>
            <w:r/>
            <w:r>
              <w:rPr>
                <w:rFonts w:ascii="Times New Roman" w:hAnsi="Times New Roman"/>
                <w:b/>
                <w:sz w:val="20"/>
              </w:rPr>
              <w:t>Инженер по данным</w:t>
            </w:r>
          </w:p>
        </w:tc>
        <w:tc>
          <w:tcPr>
            <w:tcW w:type="dxa" w:w="5128"/>
          </w:tcPr>
          <w:p>
            <w:pPr>
              <w:spacing w:after="40" w:before="40"/>
              <w:jc w:val="left"/>
            </w:pPr>
            <w:r/>
            <w:r>
              <w:rPr>
                <w:rFonts w:ascii="Times New Roman" w:hAnsi="Times New Roman"/>
                <w:b w:val="0"/>
                <w:sz w:val="20"/>
              </w:rPr>
              <w:t>Пайплайн обработки снимков, подготовка датасета, аугментации, контроль качества разметки</w:t>
            </w:r>
          </w:p>
        </w:tc>
      </w:tr>
      <w:tr>
        <w:tc>
          <w:tcPr>
            <w:tcW w:type="dxa" w:w="5128"/>
          </w:tcPr>
          <w:p>
            <w:pPr>
              <w:spacing w:after="40" w:before="40"/>
              <w:jc w:val="left"/>
            </w:pPr>
            <w:r/>
            <w:r>
              <w:rPr>
                <w:rFonts w:ascii="Times New Roman" w:hAnsi="Times New Roman"/>
                <w:b/>
                <w:sz w:val="20"/>
              </w:rPr>
              <w:t>GIS-специалист</w:t>
            </w:r>
          </w:p>
        </w:tc>
        <w:tc>
          <w:tcPr>
            <w:tcW w:type="dxa" w:w="5128"/>
          </w:tcPr>
          <w:p>
            <w:pPr>
              <w:spacing w:after="40" w:before="40"/>
              <w:jc w:val="left"/>
            </w:pPr>
            <w:r/>
            <w:r>
              <w:rPr>
                <w:rFonts w:ascii="Times New Roman" w:hAnsi="Times New Roman"/>
                <w:b w:val="0"/>
                <w:sz w:val="20"/>
              </w:rPr>
              <w:t>Геопривязка, ортомозаика, построение слоёв, экспорт в GeoJSON/GeoTIFF, картографический вывод</w:t>
            </w:r>
          </w:p>
        </w:tc>
      </w:tr>
      <w:tr>
        <w:tc>
          <w:tcPr>
            <w:tcW w:type="dxa" w:w="5128"/>
          </w:tcPr>
          <w:p>
            <w:pPr>
              <w:spacing w:after="40" w:before="40"/>
              <w:jc w:val="left"/>
            </w:pPr>
            <w:r/>
            <w:r>
              <w:rPr>
                <w:rFonts w:ascii="Times New Roman" w:hAnsi="Times New Roman"/>
                <w:b/>
                <w:sz w:val="20"/>
              </w:rPr>
              <w:t>Разметчики</w:t>
            </w:r>
          </w:p>
        </w:tc>
        <w:tc>
          <w:tcPr>
            <w:tcW w:type="dxa" w:w="5128"/>
          </w:tcPr>
          <w:p>
            <w:pPr>
              <w:spacing w:after="40" w:before="40"/>
              <w:jc w:val="left"/>
            </w:pPr>
            <w:r/>
            <w:r>
              <w:rPr>
                <w:rFonts w:ascii="Times New Roman" w:hAnsi="Times New Roman"/>
                <w:b w:val="0"/>
                <w:sz w:val="20"/>
              </w:rPr>
              <w:t>Ручная разметка под контролем ведущего инженера. Количество зависит от выбранного сценария</w:t>
            </w:r>
          </w:p>
        </w:tc>
      </w:tr>
      <w:tr>
        <w:tc>
          <w:tcPr>
            <w:tcW w:type="dxa" w:w="5128"/>
          </w:tcPr>
          <w:p>
            <w:pPr>
              <w:spacing w:after="40" w:before="40"/>
              <w:jc w:val="left"/>
            </w:pPr>
            <w:r/>
            <w:r>
              <w:rPr>
                <w:rFonts w:ascii="Times New Roman" w:hAnsi="Times New Roman"/>
                <w:b/>
                <w:sz w:val="20"/>
              </w:rPr>
              <w:t>Менеджер проекта</w:t>
            </w:r>
          </w:p>
        </w:tc>
        <w:tc>
          <w:tcPr>
            <w:tcW w:type="dxa" w:w="5128"/>
          </w:tcPr>
          <w:p>
            <w:pPr>
              <w:spacing w:after="40" w:before="40"/>
              <w:jc w:val="left"/>
            </w:pPr>
            <w:r/>
            <w:r>
              <w:rPr>
                <w:rFonts w:ascii="Times New Roman" w:hAnsi="Times New Roman"/>
                <w:b w:val="0"/>
                <w:sz w:val="20"/>
              </w:rPr>
              <w:t>Коммуникация с заказчиком, контроль сроков, приёмка этапов</w:t>
            </w:r>
          </w:p>
        </w:tc>
      </w:tr>
    </w:tbl>
    <w:p>
      <w:pPr>
        <w:spacing w:after="120"/>
        <w:jc w:val="both"/>
      </w:pPr>
      <w:r>
        <w:rPr>
          <w:b w:val="0"/>
          <w:i w:val="0"/>
        </w:rPr>
      </w:r>
    </w:p>
    <w:p>
      <w:pPr>
        <w:spacing w:after="120"/>
        <w:ind w:firstLine="567"/>
        <w:jc w:val="both"/>
      </w:pPr>
      <w:r>
        <w:rPr>
          <w:b w:val="0"/>
          <w:i/>
        </w:rPr>
        <w:t>Отдельно отметим: для корректной разметки нужен человек, понимающий, как выглядит плодоносящий стланик. Оптимально — если со стороны заказчика будет выделен специалист (заготовитель, лесник, биолог), который на этапе 2 проверит первую сотню размеченных кадров. Это сильно влияет на качество итоговой модели и почти ничего не стоит.</w:t>
      </w:r>
    </w:p>
    <w:p>
      <w:pPr>
        <w:spacing w:before="160" w:after="80"/>
        <w:jc w:val="left"/>
      </w:pPr>
      <w:r>
        <w:rPr>
          <w:b/>
          <w:sz w:val="26"/>
        </w:rPr>
        <w:t>9. Передача результатов</w:t>
      </w:r>
    </w:p>
    <w:p>
      <w:pPr>
        <w:spacing w:after="120"/>
        <w:ind w:firstLine="567"/>
        <w:jc w:val="both"/>
      </w:pPr>
      <w:r>
        <w:rPr>
          <w:b w:val="0"/>
          <w:i w:val="0"/>
        </w:rPr>
        <w:t>Подтверждаем условия раздела 10 ТЗ полностью. По завершении каждого оплаченного этапа передаются:</w:t>
      </w:r>
    </w:p>
    <w:p>
      <w:pPr>
        <w:spacing w:after="60"/>
        <w:ind w:left="454" w:hanging="227"/>
        <w:jc w:val="both"/>
      </w:pPr>
      <w:r>
        <w:rPr>
          <w:sz w:val="22"/>
        </w:rPr>
        <w:t>— размеченный датасет в открытом формате (COCO/YOLO/GeoJSON) со всей структурой и методикой разметки;</w:t>
      </w:r>
    </w:p>
    <w:p>
      <w:pPr>
        <w:spacing w:after="60"/>
        <w:ind w:left="454" w:hanging="227"/>
        <w:jc w:val="both"/>
      </w:pPr>
      <w:r>
        <w:rPr>
          <w:sz w:val="22"/>
        </w:rPr>
        <w:t>— обученные веса моделей в стандартных форматах (PyTorch, ONNX);</w:t>
      </w:r>
    </w:p>
    <w:p>
      <w:pPr>
        <w:spacing w:after="60"/>
        <w:ind w:left="454" w:hanging="227"/>
        <w:jc w:val="both"/>
      </w:pPr>
      <w:r>
        <w:rPr>
          <w:sz w:val="22"/>
        </w:rPr>
        <w:t>— исходный код всех разработанных модулей с историей коммитов;</w:t>
      </w:r>
    </w:p>
    <w:p>
      <w:pPr>
        <w:spacing w:after="60"/>
        <w:ind w:left="454" w:hanging="227"/>
        <w:jc w:val="both"/>
      </w:pPr>
      <w:r>
        <w:rPr>
          <w:sz w:val="22"/>
        </w:rPr>
        <w:t>— инструкции по запуску, требования к окружению, скрипты инференса;</w:t>
      </w:r>
    </w:p>
    <w:p>
      <w:pPr>
        <w:spacing w:after="60"/>
        <w:ind w:left="454" w:hanging="227"/>
        <w:jc w:val="both"/>
      </w:pPr>
      <w:r>
        <w:rPr>
          <w:sz w:val="22"/>
        </w:rPr>
        <w:t>— протоколы тестирования, метрики, отчёт о валидации;</w:t>
      </w:r>
    </w:p>
    <w:p>
      <w:pPr>
        <w:spacing w:after="60"/>
        <w:ind w:left="454" w:hanging="227"/>
        <w:jc w:val="both"/>
      </w:pPr>
      <w:r>
        <w:rPr>
          <w:sz w:val="22"/>
        </w:rPr>
        <w:t>— GIS-слои и картографические материалы.</w:t>
      </w:r>
    </w:p>
    <w:p>
      <w:pPr>
        <w:spacing w:after="120"/>
        <w:ind w:firstLine="567"/>
        <w:jc w:val="both"/>
      </w:pPr>
      <w:r>
        <w:rPr>
          <w:b w:val="0"/>
          <w:i w:val="0"/>
        </w:rPr>
        <w:t>Исходные фотографии и наземные данные остаются собственностью заказчика. Использование материалов в сторонних проектах — только по отдельному письменному согласованию. NDA готовы подписать до передачи первой выборки снимков.</w:t>
      </w:r>
    </w:p>
    <w:p>
      <w:pPr>
        <w:spacing w:before="160" w:after="80"/>
        <w:jc w:val="left"/>
      </w:pPr>
      <w:r>
        <w:rPr>
          <w:b/>
          <w:sz w:val="26"/>
        </w:rPr>
        <w:t>Предлагаемый порядок старта</w:t>
      </w:r>
    </w:p>
    <w:p>
      <w:pPr>
        <w:spacing w:after="120"/>
        <w:ind w:firstLine="567"/>
        <w:jc w:val="both"/>
      </w:pPr>
      <w:r>
        <w:rPr>
          <w:b w:val="0"/>
          <w:i w:val="0"/>
        </w:rPr>
        <w:t>Поддерживаем формат из раздела 12 ТЗ — начать с короткого оплачиваемого аудита. Конкретные шаги:</w:t>
      </w:r>
    </w:p>
    <w:p>
      <w:pPr>
        <w:spacing w:after="60"/>
        <w:ind w:left="454" w:hanging="454"/>
        <w:jc w:val="both"/>
      </w:pPr>
      <w:r>
        <w:rPr>
          <w:b/>
        </w:rPr>
        <w:t xml:space="preserve">1. </w:t>
      </w:r>
      <w:r>
        <w:t>Подписание NDA — в течение 1-2 дней.</w:t>
      </w:r>
    </w:p>
    <w:p>
      <w:pPr>
        <w:spacing w:after="60"/>
        <w:ind w:left="454" w:hanging="454"/>
        <w:jc w:val="both"/>
      </w:pPr>
      <w:r>
        <w:rPr>
          <w:b/>
        </w:rPr>
        <w:t xml:space="preserve">2. </w:t>
      </w:r>
      <w:r>
        <w:t>Передача финального протокола съёмки и шаблона полевого журнала — 3-5 дней. Созвон с оператором БПЛА.</w:t>
      </w:r>
    </w:p>
    <w:p>
      <w:pPr>
        <w:spacing w:after="60"/>
        <w:ind w:left="454" w:hanging="454"/>
        <w:jc w:val="both"/>
      </w:pPr>
      <w:r>
        <w:rPr>
          <w:b/>
        </w:rPr>
        <w:t xml:space="preserve">3. </w:t>
      </w:r>
      <w:r>
        <w:t>Ваш выезд и съёмка первых 6-8 контрольных площадок по протоколу, наземный подсчёт шишек.</w:t>
      </w:r>
    </w:p>
    <w:p>
      <w:pPr>
        <w:spacing w:after="60"/>
        <w:ind w:left="454" w:hanging="454"/>
        <w:jc w:val="both"/>
      </w:pPr>
      <w:r>
        <w:rPr>
          <w:b/>
        </w:rPr>
        <w:t xml:space="preserve">4. </w:t>
      </w:r>
      <w:r>
        <w:t>Передача выборки нам. Технический аудит — 10-14 рабочих дней.</w:t>
      </w:r>
    </w:p>
    <w:p>
      <w:pPr>
        <w:spacing w:after="60"/>
        <w:ind w:left="454" w:hanging="454"/>
        <w:jc w:val="both"/>
      </w:pPr>
      <w:r>
        <w:rPr>
          <w:b/>
        </w:rPr>
        <w:t xml:space="preserve">5. </w:t>
      </w:r>
      <w:r>
        <w:t>Отчёт с прямым ответом: различима ли шишка, с какой высоты, какой сценарий выбираем, уточнённая смета на этапы 2-5.</w:t>
      </w:r>
    </w:p>
    <w:p>
      <w:pPr>
        <w:spacing w:after="60"/>
        <w:ind w:left="454" w:hanging="454"/>
        <w:jc w:val="both"/>
      </w:pPr>
      <w:r>
        <w:rPr>
          <w:b/>
        </w:rPr>
        <w:t xml:space="preserve">6. </w:t>
      </w:r>
      <w:r>
        <w:t>Ваше решение о продолжении.</w:t>
      </w:r>
    </w:p>
    <w:p>
      <w:pPr>
        <w:spacing w:after="160"/>
        <w:jc w:val="both"/>
      </w:pPr>
      <w:r>
        <w:rPr>
          <w:b w:val="0"/>
          <w:i w:val="0"/>
        </w:rPr>
      </w:r>
    </w:p>
    <w:p>
      <w:pPr>
        <w:spacing w:after="120"/>
        <w:ind w:firstLine="567"/>
        <w:jc w:val="both"/>
      </w:pPr>
      <w:r>
        <w:rPr>
          <w:b w:val="0"/>
          <w:i w:val="0"/>
        </w:rPr>
        <w:t>Аудит — это точка, в которой проект либо получает подтверждённое основание, либо останавливается с минимальными потерями. Мы считаем правильным сказать заранее: возможен исход, при котором RGB-камеры Mini 2 окажется недостаточно, и рекомендацией станет мультиспектральная съёмка. Такой результат тоже является результатом и экономит несравнимо больше, чем стоит аудит.</w:t>
      </w:r>
    </w:p>
    <w:p>
      <w:pPr>
        <w:spacing w:after="280"/>
        <w:jc w:val="both"/>
      </w:pPr>
      <w:r>
        <w:rPr>
          <w:b w:val="0"/>
          <w:i w:val="0"/>
        </w:rPr>
      </w:r>
    </w:p>
    <w:p>
      <w:pPr>
        <w:spacing w:after="120"/>
        <w:jc w:val="both"/>
      </w:pPr>
      <w:r>
        <w:rPr>
          <w:b/>
          <w:i w:val="0"/>
        </w:rPr>
        <w:t>Готовы приступить после согласования условий и подписания NDA.</w:t>
      </w:r>
    </w:p>
    <w:p>
      <w:pPr>
        <w:spacing w:after="120"/>
        <w:jc w:val="both"/>
      </w:pPr>
      <w:r>
        <w:rPr>
          <w:b w:val="0"/>
          <w:i/>
          <w:sz w:val="20"/>
        </w:rPr>
        <w:t>Контактное лицо, реквизиты и сроки действия предложения — указать перед отправкой.</w:t>
      </w:r>
    </w:p>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