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</w:rPr>
        <w:t>КОММЕРЧЕСКОЕ ПРЕДЛОЖЕНИЕ</w:t>
      </w:r>
    </w:p>
    <w:p>
      <w:pPr>
        <w:spacing w:after="80"/>
        <w:jc w:val="center"/>
      </w:pPr>
      <w:r>
        <w:rPr>
          <w:b/>
        </w:rPr>
        <w:t>Разработка и сопровождение платформы «benefit.com»</w:t>
      </w:r>
    </w:p>
    <w:p>
      <w:pPr>
        <w:spacing w:after="80"/>
        <w:jc w:val="center"/>
      </w:pPr>
      <w:r>
        <w:rPr>
          <w:b w:val="0"/>
        </w:rPr>
        <w:t>Исполнитель: ООО «МАТ-Лабс»  |  Заказчик: проект Benefit.com (Фёдоров Д.В.)</w:t>
      </w:r>
    </w:p>
    <w:p>
      <w:pPr>
        <w:spacing w:after="80"/>
      </w:pPr>
      <w:r>
        <w:rPr>
          <w:b w:val="0"/>
        </w:rPr>
      </w:r>
    </w:p>
    <w:p>
      <w:r>
        <w:rPr>
          <w:b/>
          <w:sz w:val="28"/>
        </w:rPr>
        <w:t>1. Что мы оценивали</w:t>
      </w:r>
    </w:p>
    <w:p>
      <w:pPr>
        <w:spacing w:after="80"/>
      </w:pPr>
      <w:r>
        <w:rPr>
          <w:b w:val="0"/>
        </w:rPr>
        <w:t>Оценка построена на основании предоставленных документов: бизнес-плана, финансовой модели, презентации для инвесторов и описания функционала «Полезной социальной сети benefit.com».</w:t>
      </w:r>
    </w:p>
    <w:p>
      <w:pPr>
        <w:spacing w:after="80"/>
      </w:pPr>
      <w:r>
        <w:rPr>
          <w:b w:val="0"/>
        </w:rPr>
        <w:t>Проект представляет собой не «сайт», а высоконагруженную социальную платформу с четырьмя ролями пользователей (школьник, учебное заведение, студент/выпускник, работодатель), федеральными базами данных, ИИ-диагностикой и рекомендательной системой. Это классифицируется как разработка сложного программного комплекса.</w:t>
      </w:r>
    </w:p>
    <w:p>
      <w:r>
        <w:rPr>
          <w:b/>
          <w:sz w:val="28"/>
        </w:rPr>
        <w:t>2. Объём работ</w:t>
      </w:r>
    </w:p>
    <w:p>
      <w:pPr>
        <w:spacing w:after="80"/>
      </w:pPr>
      <w:r>
        <w:rPr>
          <w:b/>
        </w:rPr>
        <w:t>В периметр полного создания входит:</w:t>
      </w:r>
    </w:p>
    <w:p>
      <w:pPr>
        <w:pStyle w:val="ListBullet"/>
        <w:spacing w:after="40"/>
      </w:pPr>
      <w:r>
        <w:t>Ролевая система и профили: школьник, учебное заведение, студент, работодатель, самозанятый/ИП.</w:t>
      </w:r>
    </w:p>
    <w:p>
      <w:pPr>
        <w:pStyle w:val="ListBullet"/>
        <w:spacing w:after="40"/>
      </w:pPr>
      <w:r>
        <w:t>База данных учебных заведений РФ (государственные и частные) с карточками, отзывами, статистикой трудоустройства.</w:t>
      </w:r>
    </w:p>
    <w:p>
      <w:pPr>
        <w:pStyle w:val="ListBullet"/>
        <w:spacing w:after="40"/>
      </w:pPr>
      <w:r>
        <w:t>База данных работодателей с вакансиями, практиками и стажировками.</w:t>
      </w:r>
    </w:p>
    <w:p>
      <w:pPr>
        <w:pStyle w:val="ListBullet"/>
        <w:spacing w:after="40"/>
      </w:pPr>
      <w:r>
        <w:t>Модуль самодиагностики: тесты профессиональных способностей и определение типа мышления (гуманитарный, математический, инженерно-технический, научный, творческий).</w:t>
      </w:r>
    </w:p>
    <w:p>
      <w:pPr>
        <w:pStyle w:val="ListBullet"/>
        <w:spacing w:after="40"/>
      </w:pPr>
      <w:r>
        <w:t>ИИ-ядро: персонализация образовательной траектории, рекомендательная система, прогнозная аналитика оттока, оценка навыков.</w:t>
      </w:r>
    </w:p>
    <w:p>
      <w:pPr>
        <w:pStyle w:val="ListBullet"/>
        <w:spacing w:after="40"/>
      </w:pPr>
      <w:r>
        <w:t>Коммуникации: личные сообщения, обратная связь «школьник — вуз — работодатель», отклики и приглашения.</w:t>
      </w:r>
    </w:p>
    <w:p>
      <w:pPr>
        <w:pStyle w:val="ListBullet"/>
        <w:spacing w:after="40"/>
      </w:pPr>
      <w:r>
        <w:t>Рейтинги и репутация учебных заведений, работодателей и специалистов.</w:t>
      </w:r>
    </w:p>
    <w:p>
      <w:pPr>
        <w:pStyle w:val="ListBullet"/>
        <w:spacing w:after="40"/>
      </w:pPr>
      <w:r>
        <w:t>Лента, контент, отзывы и обзоры действующих и бывших студентов.</w:t>
      </w:r>
    </w:p>
    <w:p>
      <w:pPr>
        <w:pStyle w:val="ListBullet"/>
        <w:spacing w:after="40"/>
      </w:pPr>
      <w:r>
        <w:t>Монетизация: подписки, платные услуги, рекламный кабинет, виртуальные товары, платёжный контур.</w:t>
      </w:r>
    </w:p>
    <w:p>
      <w:pPr>
        <w:pStyle w:val="ListBullet"/>
        <w:spacing w:after="40"/>
      </w:pPr>
      <w:r>
        <w:t>Административная панель, модерация, антифрод, аналитика.</w:t>
      </w:r>
    </w:p>
    <w:p>
      <w:pPr>
        <w:pStyle w:val="ListBullet"/>
        <w:spacing w:after="40"/>
      </w:pPr>
      <w:r>
        <w:t>Мобильные приложения iOS и Android.</w:t>
      </w:r>
    </w:p>
    <w:p>
      <w:pPr>
        <w:pStyle w:val="ListBullet"/>
        <w:spacing w:after="40"/>
      </w:pPr>
      <w:r>
        <w:t>Безопасность и соответствие 152-ФЗ (персональные данные несовершеннолетних — зона повышенного риска).</w:t>
      </w:r>
    </w:p>
    <w:p>
      <w:r>
        <w:rPr>
          <w:b/>
          <w:sz w:val="28"/>
        </w:rPr>
        <w:t>3. Стоимость создания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20"/>
              </w:rPr>
              <w:t>Состав работ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0"/>
              </w:rPr>
              <w:t>Стоимость, ₽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1. Аналитика и проектирование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Исследование, ТЗ, архитектура, модель данных, UX/UI-концепция, прототип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1,5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4 800 000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2. MVP (веб-платформа)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Ролевая система, профили, базы УЗ и работодателей, коммуникации, лента, базовое тестирование, админка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26 400 000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3. ИИ-ядро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Диагностика типа мышления, профориентация, рекомендательная система, прогнозная аналитика, оценка навыков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13 200 000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4. Мобильные приложения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iOS и Android, публикация в сторах, push-уведомления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4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11 000 000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5. Промышленный контур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Нагрузочная устойчивость, безопасность, 152-ФЗ, модерация, антифрод, монетизация, сквозная аналитика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7 600 000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ИТОГО СОЗДАНИЕ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Этапы 3 и 4 выполняются параллельно с этапом 2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12–14 мес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63 000 000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 w:val="0"/>
        </w:rPr>
        <w:t>Стоимость укладывается в заложенные в бизнес-плане 60 млн ₽ на разработку платформы. НДС не облагается / указывается по системе налогообложения Исполнителя.</w:t>
      </w:r>
    </w:p>
    <w:p>
      <w:r>
        <w:rPr>
          <w:b/>
          <w:sz w:val="28"/>
        </w:rPr>
        <w:t>4. Стоимость сопровождения (после запуска)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Пакет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Что входит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В месяц, 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Базовый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Мониторинг, устранение сбоев, обновления безопасности, поддержка 12/5, реакция до 8 ч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1 900 000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Стандарт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Всё из «Базового» + развитие функционала (2 спринта в месяц), поддержка 24/7, реакция до 2 ч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3 200 000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Полный (рекомендуем)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Выделенная команда 8–9 специалистов: развитие продукта, дообучение ИИ-моделей, инфраструктура, SLA 99,9%, реакция до 30 мин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4 600 000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/>
        </w:rPr>
        <w:t>Инфраструктура (серверы, хранение, CDN, вычисления для ИИ, лицензии) оплачивается Заказчиком отдельно: на старте 350–700 тыс. ₽/мес, при выходе на 300 000 MAU — 2,2–3,5 млн ₽/мес.</w:t>
      </w:r>
    </w:p>
    <w:p>
      <w:r>
        <w:rPr>
          <w:b/>
          <w:sz w:val="28"/>
        </w:rPr>
        <w:t>5. Три модели участия МАТ-Лабс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Условия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Платёж Заказчика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Доля МАТ-Лабс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A. Классический подряд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Мы — подрядчик, все права на результат у Заказчика после полной оплаты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63 млн ₽ + 4,6 млн ₽/мес сопровождение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B. Партнёрская (рекомендуем)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Скидка 35% на разработку в обмен на долю; сопровождение по себестоимости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41 млн ₽ + 2,8 млн ₽/мес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12–15%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C. Технологический соучредитель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МАТ-Лабс закрывает всю техническую функцию проекта (роль CTO), инвестируя разработку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1,5 млн ₽/мес (инфраструктура и часть ФОТ)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20–25%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/>
        </w:rPr>
        <w:t>Почему рекомендуем модель B: проект привлекает 200–290 млн ₽ и отдаёт инвесторам до 49%. Технологический партнёр с долей 12–15% получает участие в росте капитализации, но при этом сохраняет живой денежный поток и не зависит целиком от успеха продукта.</w:t>
      </w:r>
    </w:p>
    <w:p>
      <w:r>
        <w:rPr>
          <w:b/>
          <w:sz w:val="28"/>
        </w:rPr>
        <w:t>6. Экономика для МАТ-Лабс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Модель A</w:t>
            </w:r>
          </w:p>
        </w:tc>
        <w:tc>
          <w:tcPr>
            <w:tcW w:type="dxa" w:w="2098"/>
          </w:tcPr>
          <w:p>
            <w:r/>
            <w:r>
              <w:rPr>
                <w:b/>
                <w:sz w:val="20"/>
              </w:rPr>
              <w:t>Модель B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Модель C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Выручка за 1-й год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63,0 млн ₽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41,0 млн ₽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18,0 млн 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Выручка со 2-го года (сопровождение)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55,2 млн ₽/год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33,6 млн ₽/год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18,0 млн ₽/год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Себестоимость разработки (оценка)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≈ 44 млн ₽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≈ 44 млн ₽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≈ 44 млн 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Маржа по разработке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≈ 30%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отрицательная, компенсируется долей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инвестиция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Доля в проекте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12–15%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20–25%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Риск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Низкий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Средний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Высокий</w:t>
            </w:r>
          </w:p>
        </w:tc>
      </w:tr>
    </w:tbl>
    <w:p>
      <w:r>
        <w:rPr>
          <w:b/>
          <w:sz w:val="28"/>
        </w:rPr>
        <w:t>7. Ключевые риски проекта (наша позиция)</w:t>
      </w:r>
    </w:p>
    <w:p>
      <w:pPr>
        <w:pStyle w:val="ListBullet"/>
        <w:spacing w:after="40"/>
      </w:pPr>
      <w:r>
        <w:t>Финансирование не подтверждено. Инвестиции 200–290 млн ₽ на момент оценки не привлечены — начинать разработку без обеспечения нельзя.</w:t>
      </w:r>
    </w:p>
    <w:p>
      <w:pPr>
        <w:pStyle w:val="ListBullet"/>
        <w:spacing w:after="40"/>
      </w:pPr>
      <w:r>
        <w:t>Разрыв в финансовой модели. Бизнес-план заявляет доход 50 млн ₽ в 1-й год, а финансовая модель — 2–3 млн ₽ за тот же период. Расхождение в 20 раз требует уточнения до подписания.</w:t>
      </w:r>
    </w:p>
    <w:p>
      <w:pPr>
        <w:pStyle w:val="ListBullet"/>
        <w:spacing w:after="40"/>
      </w:pPr>
      <w:r>
        <w:t>Персональные данные несовершеннолетних. Работа со школьниками 14–18 лет — зона строгого регулирования 152-ФЗ, нужны согласия законных представителей и локализация данных в РФ.</w:t>
      </w:r>
    </w:p>
    <w:p>
      <w:pPr>
        <w:pStyle w:val="ListBullet"/>
        <w:spacing w:after="40"/>
      </w:pPr>
      <w:r>
        <w:t>Наполнение баз данных. Актуальные базы всех учебных заведений и работодателей — это не разработка, а отдельный дорогостоящий процесс сбора данных и партнёрств. В нашу оценку не входит.</w:t>
      </w:r>
    </w:p>
    <w:p>
      <w:pPr>
        <w:pStyle w:val="ListBullet"/>
        <w:spacing w:after="40"/>
      </w:pPr>
      <w:r>
        <w:t>Эффект «пустой сети». Соцсеть без критической массы пользователей не работает; успех зависит от маркетинга (30 млн ₽ в плане), а не от качества кода.</w:t>
      </w:r>
    </w:p>
    <w:p>
      <w:r>
        <w:rPr>
          <w:b/>
          <w:sz w:val="28"/>
        </w:rPr>
        <w:t>8. Наши условия входа в проект</w:t>
      </w:r>
    </w:p>
    <w:p>
      <w:pPr>
        <w:pStyle w:val="ListBullet"/>
        <w:spacing w:after="40"/>
      </w:pPr>
      <w:r>
        <w:t>Аванс 30% по каждому этапу, оплата поэтапно по актам.</w:t>
      </w:r>
    </w:p>
    <w:p>
      <w:pPr>
        <w:pStyle w:val="ListBullet"/>
        <w:spacing w:after="40"/>
      </w:pPr>
      <w:r>
        <w:t>Исключительные права на результат переходят Заказчику только после полной оплаты этапа.</w:t>
      </w:r>
    </w:p>
    <w:p>
      <w:pPr>
        <w:pStyle w:val="ListBullet"/>
        <w:spacing w:after="40"/>
      </w:pPr>
      <w:r>
        <w:t>Подтверждение источника финансирования до старта разработки.</w:t>
      </w:r>
    </w:p>
    <w:p>
      <w:pPr>
        <w:pStyle w:val="ListBullet"/>
        <w:spacing w:after="40"/>
      </w:pPr>
      <w:r>
        <w:t>Фиксация состава работ по каждому этапу отдельным техническим заданием.</w:t>
      </w:r>
    </w:p>
    <w:p>
      <w:pPr>
        <w:pStyle w:val="ListBullet"/>
        <w:spacing w:after="40"/>
      </w:pPr>
      <w:r>
        <w:t>При партнёрской модели — участие в проекте закрепляется корпоративным договором до начала работ.</w:t>
      </w:r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/>
        </w:rPr>
        <w:t>Предложение действительно 30 календарных дней с даты направления.</w:t>
      </w:r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 w:val="0"/>
        </w:rPr>
        <w:t>ООО «МАТ-Лабс»</w:t>
      </w:r>
    </w:p>
    <w:p>
      <w:pPr>
        <w:spacing w:after="80"/>
      </w:pPr>
      <w:r>
        <w:rPr>
          <w:b w:val="0"/>
        </w:rPr>
        <w:t>Генеральный директор ____________________ / 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