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КОНТРРАСЧЁТ</w:t>
      </w:r>
    </w:p>
    <w:p>
      <w:pPr>
        <w:spacing w:after="0"/>
        <w:jc w:val="center"/>
      </w:pPr>
      <w:r>
        <w:rPr>
          <w:b/>
          <w:i w:val="0"/>
          <w:sz w:val="24"/>
        </w:rPr>
        <w:t>процентов за пользование чужими денежными средствами по ключевой ставке Банка России</w:t>
      </w:r>
    </w:p>
    <w:p>
      <w:pPr>
        <w:spacing w:after="40"/>
        <w:jc w:val="center"/>
      </w:pPr>
      <w:r>
        <w:rPr>
          <w:b w:val="0"/>
          <w:i w:val="0"/>
          <w:sz w:val="24"/>
        </w:rPr>
        <w:t>по договору поставки № 1349 от 14.07.2022 на 26.08.2026</w:t>
      </w:r>
    </w:p>
    <w:p>
      <w:pPr>
        <w:spacing w:after="200"/>
        <w:jc w:val="center"/>
      </w:pPr>
      <w:r>
        <w:rPr>
          <w:b w:val="0"/>
          <w:i w:val="0"/>
          <w:sz w:val="24"/>
        </w:rPr>
        <w:t>Дело № 2-1674/2026</w:t>
      </w:r>
    </w:p>
    <w:p>
      <w:pPr>
        <w:spacing w:after="80"/>
        <w:jc w:val="left"/>
      </w:pPr>
      <w:r>
        <w:rPr>
          <w:b/>
          <w:i w:val="0"/>
          <w:sz w:val="24"/>
        </w:rPr>
        <w:t>Раздел 1. Проценты на фактически просроченные партии товара</w:t>
      </w:r>
    </w:p>
    <w:p>
      <w:pPr>
        <w:spacing w:after="120"/>
        <w:ind w:firstLine="709"/>
        <w:jc w:val="both"/>
      </w:pPr>
      <w:r>
        <w:rPr>
          <w:b w:val="0"/>
          <w:i w:val="0"/>
          <w:sz w:val="24"/>
        </w:rPr>
        <w:t>Расчёт произведён на восемь партий товара, оплаченных 26.08.2026, исходя из ключевой ставки Банка России 18% годовых по формуле: сумма × дней × 18% ÷ 365.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60"/>
        <w:gridCol w:w="2060"/>
        <w:gridCol w:w="2060"/>
        <w:gridCol w:w="2060"/>
        <w:gridCol w:w="2060"/>
        <w:gridCol w:w="2060"/>
        <w:gridCol w:w="2060"/>
      </w:tblGrid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Дата отгрузки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Счёт-фактура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Сумма, руб.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Дней просрочки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 ставке ЦБ 18%, руб.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Начислено Истцом, руб.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Разница, руб.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16.04.2026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7186 от 16.04.2026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10 437,92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99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509,60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5 166,77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4 657,17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8082 от 24.04.2026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20 340,91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92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922,86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9 356,82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8 433,96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8083 от 24.04.2026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806,31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92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36,58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370,90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334,32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24.04.2026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8086 от 24.04.2026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4 050,68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92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183,78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1 863,31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1 679,53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29.04.2026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8507 от 29.04.2026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20 363,90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85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853,61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8 654,66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7 801,05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30.04.2026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8757 от 30.04.2026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8 210,60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85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344,17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3 489,51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3 145,34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12.05.2026</w:t>
            </w:r>
          </w:p>
        </w:tc>
        <w:tc>
          <w:tcPr>
            <w:tcW w:type="dxa" w:w="206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9830 от 12.05.2026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20 046,06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75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741,43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7 517,27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6 775,84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13.05.2026</w:t>
            </w:r>
          </w:p>
        </w:tc>
        <w:tc>
          <w:tcPr>
            <w:tcW w:type="dxa" w:w="2060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10056 от 13.05.2026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2 011,44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74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73,40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744,23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670,83</w:t>
            </w:r>
          </w:p>
        </w:tc>
      </w:tr>
      <w:tr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ИТОГО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86 267,82</w:t>
            </w:r>
          </w:p>
        </w:tc>
        <w:tc>
          <w:tcPr>
            <w:tcW w:type="dxa" w:w="206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3 665,44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37 163,47</w:t>
            </w:r>
          </w:p>
        </w:tc>
        <w:tc>
          <w:tcPr>
            <w:tcW w:type="dxa" w:w="2060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33 498,03</w:t>
            </w:r>
          </w:p>
        </w:tc>
      </w:tr>
    </w:tbl>
    <w:p>
      <w:pPr>
        <w:spacing w:after="160"/>
        <w:jc w:val="both"/>
      </w:pPr>
      <w:r>
        <w:rPr>
          <w:b w:val="0"/>
          <w:i w:val="0"/>
          <w:sz w:val="24"/>
        </w:rPr>
      </w:r>
    </w:p>
    <w:p>
      <w:pPr>
        <w:spacing w:after="120"/>
        <w:ind w:firstLine="709"/>
        <w:jc w:val="both"/>
      </w:pPr>
      <w:r>
        <w:rPr>
          <w:b w:val="0"/>
          <w:i w:val="0"/>
          <w:sz w:val="24"/>
        </w:rPr>
        <w:t>Обоснованный размер процентов составляет 3 665,44 руб. Истцом заявлено 37 163,47 руб., то есть в 10.1 раза больше.</w:t>
      </w:r>
    </w:p>
    <w:p>
      <w:pPr>
        <w:spacing w:after="160"/>
        <w:jc w:val="both"/>
      </w:pPr>
      <w:r>
        <w:rPr>
          <w:b w:val="0"/>
          <w:i w:val="0"/>
          <w:sz w:val="24"/>
        </w:rPr>
      </w:r>
    </w:p>
    <w:p>
      <w:pPr>
        <w:spacing w:after="80"/>
        <w:jc w:val="left"/>
      </w:pPr>
      <w:r>
        <w:rPr>
          <w:b/>
          <w:i w:val="0"/>
          <w:sz w:val="24"/>
        </w:rPr>
        <w:t>Раздел 2. Проценты, начисленные на полностью оплаченные поставки</w:t>
      </w:r>
    </w:p>
    <w:p>
      <w:pPr>
        <w:spacing w:after="120"/>
        <w:ind w:firstLine="709"/>
        <w:jc w:val="both"/>
      </w:pPr>
      <w:r>
        <w:rPr>
          <w:b w:val="0"/>
          <w:i w:val="0"/>
          <w:sz w:val="24"/>
        </w:rPr>
        <w:t>Из общей суммы процентов, заявленной Истцом, на партии товара, оплаченные до предъявления иска, приходится: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08"/>
        <w:gridCol w:w="4808"/>
        <w:gridCol w:w="4808"/>
      </w:tblGrid>
      <w:tr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Показатель</w:t>
            </w:r>
          </w:p>
        </w:tc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Сумма, руб.</w:t>
            </w:r>
          </w:p>
        </w:tc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Доля</w:t>
            </w:r>
          </w:p>
        </w:tc>
      </w:tr>
      <w:tr>
        <w:tc>
          <w:tcPr>
            <w:tcW w:type="dxa" w:w="480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Всего процентов заявлено Истцом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116 033,18</w:t>
            </w:r>
          </w:p>
        </w:tc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100.0%</w:t>
            </w:r>
          </w:p>
        </w:tc>
      </w:tr>
      <w:tr>
        <w:tc>
          <w:tcPr>
            <w:tcW w:type="dxa" w:w="480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в том числе на восемь просроченных партий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37 163,47</w:t>
            </w:r>
          </w:p>
        </w:tc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32.0%</w:t>
            </w:r>
          </w:p>
        </w:tc>
      </w:tr>
      <w:tr>
        <w:tc>
          <w:tcPr>
            <w:tcW w:type="dxa" w:w="480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в том числе на полностью оплаченные поставки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78 869,71</w:t>
            </w:r>
          </w:p>
        </w:tc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68.0%</w:t>
            </w:r>
          </w:p>
        </w:tc>
      </w:tr>
    </w:tbl>
    <w:p>
      <w:pPr>
        <w:spacing w:after="120"/>
        <w:jc w:val="both"/>
      </w:pPr>
      <w:r>
        <w:rPr>
          <w:b w:val="0"/>
          <w:i w:val="0"/>
          <w:sz w:val="24"/>
        </w:rPr>
      </w:r>
    </w:p>
    <w:p>
      <w:pPr>
        <w:spacing w:after="120"/>
        <w:ind w:firstLine="709"/>
        <w:jc w:val="both"/>
      </w:pPr>
      <w:r>
        <w:rPr>
          <w:b w:val="0"/>
          <w:i w:val="0"/>
          <w:sz w:val="24"/>
        </w:rPr>
        <w:t>Сумма 78 869 руб. 71 коп. совпадает в первоначальном и уточнённом расчётах Истца, что подтверждает: начисления на оплаченные поставки зафиксированы ранее и при уточнении требований не пересматривались. Указанная сумма подлежит исключению из расчёта.</w:t>
      </w:r>
    </w:p>
    <w:p>
      <w:pPr>
        <w:spacing w:after="160"/>
        <w:jc w:val="both"/>
      </w:pPr>
      <w:r>
        <w:rPr>
          <w:b w:val="0"/>
          <w:i w:val="0"/>
          <w:sz w:val="24"/>
        </w:rPr>
      </w:r>
    </w:p>
    <w:p>
      <w:pPr>
        <w:spacing w:after="80"/>
        <w:jc w:val="left"/>
      </w:pPr>
      <w:r>
        <w:rPr>
          <w:b/>
          <w:i w:val="0"/>
          <w:sz w:val="24"/>
        </w:rPr>
        <w:t>Раздел 3. Сопоставление применённых ставок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606"/>
        <w:gridCol w:w="3606"/>
        <w:gridCol w:w="3606"/>
        <w:gridCol w:w="3606"/>
      </w:tblGrid>
      <w:tr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Вид начисления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Ставка в день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Годовых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Превышение ключевой ставки ЦБ (18%)</w:t>
            </w:r>
          </w:p>
        </w:tc>
      </w:tr>
      <w:tr>
        <w:tc>
          <w:tcPr>
            <w:tcW w:type="dxa" w:w="3606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Проценты по п. 4.4 договора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0,5%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182,5%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в 10,1 раза</w:t>
            </w:r>
          </w:p>
        </w:tc>
      </w:tr>
      <w:tr>
        <w:tc>
          <w:tcPr>
            <w:tcW w:type="dxa" w:w="3606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Неустойка по п. 7.2 договора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0,1%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36,5%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в 2,0 раза</w:t>
            </w:r>
          </w:p>
        </w:tc>
      </w:tr>
      <w:tr>
        <w:tc>
          <w:tcPr>
            <w:tcW w:type="dxa" w:w="3606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Совокупно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0,6%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219,0%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в 12,2 раза</w:t>
            </w:r>
          </w:p>
        </w:tc>
      </w:tr>
      <w:tr>
        <w:tc>
          <w:tcPr>
            <w:tcW w:type="dxa" w:w="3606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Ключевая ставка Банка России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0,049%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18,0%</w:t>
            </w:r>
          </w:p>
        </w:tc>
        <w:tc>
          <w:tcPr>
            <w:tcW w:type="dxa" w:w="3606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—</w:t>
            </w:r>
          </w:p>
        </w:tc>
      </w:tr>
    </w:tbl>
    <w:p>
      <w:pPr>
        <w:spacing w:after="160"/>
        <w:jc w:val="both"/>
      </w:pPr>
      <w:r>
        <w:rPr>
          <w:b w:val="0"/>
          <w:i w:val="0"/>
          <w:sz w:val="24"/>
        </w:rPr>
      </w:r>
    </w:p>
    <w:p>
      <w:pPr>
        <w:spacing w:after="80"/>
        <w:jc w:val="left"/>
      </w:pPr>
      <w:r>
        <w:rPr>
          <w:b/>
          <w:i w:val="0"/>
          <w:sz w:val="24"/>
        </w:rPr>
        <w:t>Раздел 4. Итоговое сопоставление требований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08"/>
        <w:gridCol w:w="4808"/>
        <w:gridCol w:w="4808"/>
      </w:tblGrid>
      <w:tr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Заявлено Истцом, руб.</w:t>
            </w:r>
          </w:p>
        </w:tc>
        <w:tc>
          <w:tcPr>
            <w:tcW w:type="dxa" w:w="4808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По расчёту Ответчиков, руб.</w:t>
            </w:r>
          </w:p>
        </w:tc>
      </w:tr>
      <w:tr>
        <w:tc>
          <w:tcPr>
            <w:tcW w:type="dxa" w:w="480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Основной долг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0,00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0,00</w:t>
            </w:r>
          </w:p>
        </w:tc>
      </w:tr>
      <w:tr>
        <w:tc>
          <w:tcPr>
            <w:tcW w:type="dxa" w:w="480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Проценты за пользование коммерческим кредитом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116 033,18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3 665,44</w:t>
            </w:r>
          </w:p>
        </w:tc>
      </w:tr>
      <w:tr>
        <w:tc>
          <w:tcPr>
            <w:tcW w:type="dxa" w:w="480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Неустойка за просрочку оплаты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23 206,64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0,00</w:t>
            </w:r>
          </w:p>
        </w:tc>
      </w:tr>
      <w:tr>
        <w:tc>
          <w:tcPr>
            <w:tcW w:type="dxa" w:w="480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 w:val="0"/>
                <w:sz w:val="18"/>
              </w:rPr>
              <w:t>Государственная пошлина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7 625,00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 w:val="0"/>
                <w:sz w:val="18"/>
              </w:rPr>
              <w:t>5 177,19</w:t>
            </w:r>
          </w:p>
        </w:tc>
      </w:tr>
      <w:tr>
        <w:tc>
          <w:tcPr>
            <w:tcW w:type="dxa" w:w="4808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ИТОГО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146 864,82</w:t>
            </w:r>
          </w:p>
        </w:tc>
        <w:tc>
          <w:tcPr>
            <w:tcW w:type="dxa" w:w="4808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/>
                <w:b/>
                <w:sz w:val="18"/>
              </w:rPr>
              <w:t>8 842,63</w:t>
            </w:r>
          </w:p>
        </w:tc>
      </w:tr>
    </w:tbl>
    <w:p>
      <w:pPr>
        <w:spacing w:after="160"/>
        <w:jc w:val="both"/>
      </w:pPr>
      <w:r>
        <w:rPr>
          <w:b w:val="0"/>
          <w:i w:val="0"/>
          <w:sz w:val="24"/>
        </w:rPr>
      </w:r>
    </w:p>
    <w:p>
      <w:pPr>
        <w:spacing w:after="120"/>
        <w:ind w:firstLine="709"/>
        <w:jc w:val="both"/>
      </w:pPr>
      <w:r>
        <w:rPr>
          <w:b w:val="0"/>
          <w:i w:val="0"/>
          <w:sz w:val="24"/>
        </w:rPr>
        <w:t>Неустойка исключена как двойная мера ответственности за одно нарушение: сумма 23 206 руб. 64 коп. составляет ровно 1/5 от суммы процентов, что соответствует соотношению ставок 0,1% и 0,5% в день и подтверждает начисление на одну базу за один период.</w:t>
      </w:r>
    </w:p>
    <w:p>
      <w:pPr>
        <w:spacing w:after="120"/>
        <w:ind w:firstLine="709"/>
        <w:jc w:val="both"/>
      </w:pPr>
      <w:r>
        <w:rPr>
          <w:b w:val="0"/>
          <w:i w:val="0"/>
          <w:sz w:val="24"/>
        </w:rPr>
        <w:t>Государственная пошлина исчислена от уточнённой цены иска 139 239 руб. 82 коп. по пп. 1 п. 1 ст. 333.19 НК РФ: 4 000 руб. + 3% × (139 239,82 − 100 000) = 5 177 руб. 19 коп.</w:t>
      </w:r>
    </w:p>
    <w:p>
      <w:pPr>
        <w:spacing w:after="280"/>
        <w:jc w:val="both"/>
      </w:pPr>
      <w:r>
        <w:rPr>
          <w:b w:val="0"/>
          <w:i w:val="0"/>
          <w:sz w:val="24"/>
        </w:rPr>
      </w:r>
    </w:p>
    <w:p>
      <w:pPr>
        <w:spacing w:after="160"/>
        <w:jc w:val="left"/>
      </w:pPr>
      <w:r>
        <w:rPr>
          <w:b w:val="0"/>
          <w:i w:val="0"/>
          <w:sz w:val="24"/>
        </w:rPr>
        <w:t>Директор ООО «СК Авангард»  ______________________ /_________________/</w:t>
      </w:r>
    </w:p>
    <w:p>
      <w:pPr>
        <w:spacing w:after="0"/>
        <w:jc w:val="left"/>
      </w:pPr>
      <w:r>
        <w:rPr>
          <w:b w:val="0"/>
          <w:i w:val="0"/>
          <w:sz w:val="24"/>
        </w:rPr>
        <w:t>«____» _____________ 2026 г.</w:t>
      </w:r>
    </w:p>
    <w:sectPr w:rsidR="00FC693F" w:rsidRPr="0006063C" w:rsidSect="00034616">
      <w:pgSz w:w="15840" w:h="12240" w:orient="landscape"/>
      <w:pgMar w:top="850" w:right="567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