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ПЛАН РАЗВИТИЯ ПО ТРЁМ НАПРАВЛЕНИЯМ</w:t>
      </w:r>
    </w:p>
    <w:p>
      <w:pPr>
        <w:spacing w:after="40"/>
        <w:jc w:val="center"/>
      </w:pPr>
      <w:r>
        <w:rPr>
          <w:b/>
          <w:i w:val="0"/>
          <w:sz w:val="24"/>
        </w:rPr>
        <w:t>ООО «МАТ-Лабс» · ИНН 6312223437</w:t>
      </w:r>
    </w:p>
    <w:p>
      <w:pPr>
        <w:spacing w:after="40"/>
        <w:jc w:val="center"/>
      </w:pPr>
      <w:r>
        <w:rPr>
          <w:b w:val="0"/>
          <w:i/>
          <w:sz w:val="22"/>
        </w:rPr>
        <w:t>Автоматизация бизнес-процессов · УЧИСЬПРО · АВАНГАРД</w:t>
      </w:r>
    </w:p>
    <w:p>
      <w:pPr>
        <w:spacing w:after="280"/>
        <w:jc w:val="center"/>
      </w:pPr>
      <w:r>
        <w:rPr>
          <w:b w:val="0"/>
          <w:i w:val="0"/>
          <w:sz w:val="20"/>
        </w:rPr>
        <w:t>Сентябрь 2026 г.</w:t>
      </w:r>
    </w:p>
    <w:p>
      <w:pPr>
        <w:spacing w:before="160" w:after="80"/>
        <w:jc w:val="left"/>
      </w:pPr>
      <w:r>
        <w:rPr>
          <w:b/>
          <w:sz w:val="28"/>
        </w:rPr>
        <w:t>Логика трёх направлений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Три направления выполняют разные функции и не конкурируют за одни и те же ресурсы. Это принципиально важно: если относиться к ним как к трём равным продуктам, каждый получит треть внимания и ни один не дойдёт до результата.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Направление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Роль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Что даёт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Горизонт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Автоматизация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Кормилец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Деньги сегодня, финансирует остальное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 первого месяца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АВАНГАРД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Флагман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Капитализация и основной доход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6–18 месяцев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УЧИСЬПРО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Второй продукт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Массовый охват, отложенный доход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12–24 месяца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Распределение усилий на первый год: примерно 50% на автоматизацию, 35% на АВАНГАРД, 15% на УЧИСЬПРО. Ко второму году пропорция смещается в сторону продуктов.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НАПРАВЛЕНИЕ 1. Автоматизация бизнес-процессов</w:t>
      </w:r>
    </w:p>
    <w:p>
      <w:pPr>
        <w:spacing w:after="120"/>
        <w:ind w:firstLine="567"/>
        <w:jc w:val="both"/>
      </w:pPr>
      <w:r>
        <w:rPr>
          <w:b/>
          <w:i w:val="0"/>
        </w:rPr>
        <w:t>Роль: обеспечить операционный доход, который покрывает расходы компании и финансирует разработку продуктов. Это не то направление, которое нужно масштабировать бесконечно — оно должно давать стабильные деньги при контролируемых трудозатратах.</w:t>
      </w:r>
    </w:p>
    <w:p>
      <w:pPr>
        <w:spacing w:before="160" w:after="60"/>
        <w:jc w:val="left"/>
      </w:pPr>
      <w:r>
        <w:rPr>
          <w:b/>
          <w:sz w:val="24"/>
        </w:rPr>
        <w:t>Что не так сейчас</w:t>
      </w:r>
    </w:p>
    <w:p>
      <w:pPr>
        <w:spacing w:after="60"/>
        <w:ind w:left="454" w:hanging="227"/>
        <w:jc w:val="both"/>
      </w:pPr>
      <w:r>
        <w:rPr>
          <w:sz w:val="22"/>
        </w:rPr>
        <w:t>— Цены слишком низкие. AI-автоматизация от 30 000 ₽, сайты от 50 000 ₽. Такой чек притягивает клиентов, которые торгуются за каждую тысячу, требуют максимум и уходят к тому, кто сделает дешевле. При этом проект отнимает те же недели, что и проект за 200 000 ₽.</w:t>
      </w:r>
    </w:p>
    <w:p>
      <w:pPr>
        <w:spacing w:after="60"/>
        <w:ind w:left="454" w:hanging="227"/>
        <w:jc w:val="both"/>
      </w:pPr>
      <w:r>
        <w:rPr>
          <w:sz w:val="22"/>
        </w:rPr>
        <w:t>— Разовые продажи. Сделали — получили деньги — клиент ушёл. Каждый месяц начинается с нуля, доход непредсказуем.</w:t>
      </w:r>
    </w:p>
    <w:p>
      <w:pPr>
        <w:spacing w:after="60"/>
        <w:ind w:left="454" w:hanging="227"/>
        <w:jc w:val="both"/>
      </w:pPr>
      <w:r>
        <w:rPr>
          <w:sz w:val="22"/>
        </w:rPr>
        <w:t>— Продажи держатся на личных контактах и не воспроизводятся без участия собственника.</w:t>
      </w:r>
    </w:p>
    <w:p>
      <w:pPr>
        <w:spacing w:before="160" w:after="60"/>
        <w:jc w:val="left"/>
      </w:pPr>
      <w:r>
        <w:rPr>
          <w:b/>
          <w:sz w:val="24"/>
        </w:rPr>
        <w:t>Что делать</w:t>
      </w:r>
    </w:p>
    <w:p>
      <w:pPr>
        <w:spacing w:after="40"/>
        <w:ind w:firstLine="567"/>
        <w:jc w:val="both"/>
      </w:pPr>
      <w:r>
        <w:rPr>
          <w:b/>
          <w:i w:val="0"/>
        </w:rPr>
        <w:t>Шаг 1. Поднять цены и переупаковать прайс.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Минимальный чек — от 150 000 ₽. Позиции дешевле убрать из публичного прайса полностью. Это не потеря клиентов, а смена сегмента: тот, кто платит 150 000, обычно требует меньше, чем тот, кто платит 30 000, потому что ценит своё время и понимает, за что платит.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Продавать не «часы разработки», а измеримый результат: «сократим время обработки заявки с 2 часов до 5 минут», «уберём потери заявок». Экономия двух человеко-месяцев в год для клиента стоит сотни тысяч — от этого и считать цену.</w:t>
      </w:r>
    </w:p>
    <w:p>
      <w:pPr>
        <w:spacing w:after="40"/>
        <w:ind w:firstLine="567"/>
        <w:jc w:val="both"/>
      </w:pPr>
      <w:r>
        <w:rPr>
          <w:b/>
          <w:i w:val="0"/>
        </w:rPr>
        <w:t>Шаг 2. Ввести абонентское сопровождение.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Это самое быстрое улучшение экономики из всех возможных. Клиенту, которому внедрили автоматизацию, постоянно нужны доработки, поддержка и развитие. Абонентская плата от 30 000 ₽ в месяц превращает разовую сделку в предсказуемый поток.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Двадцать клиентов на сопровождении — это 600 000 ₽ ежемесячно без единой новой продажи. Предложить сопровождение нужно всем текущим и всем прошлым клиентам, начиная с ближайшей недели.</w:t>
      </w:r>
    </w:p>
    <w:p>
      <w:pPr>
        <w:spacing w:after="40"/>
        <w:ind w:firstLine="567"/>
        <w:jc w:val="both"/>
      </w:pPr>
      <w:r>
        <w:rPr>
          <w:b/>
          <w:i w:val="0"/>
        </w:rPr>
        <w:t>Шаг 3. Собрать три типовых пакета вместо индивидуальных проектов.</w:t>
      </w:r>
    </w:p>
    <w:p>
      <w:pPr>
        <w:spacing w:after="60"/>
        <w:ind w:left="454" w:hanging="227"/>
        <w:jc w:val="both"/>
      </w:pPr>
      <w:r>
        <w:rPr>
          <w:sz w:val="22"/>
        </w:rPr>
        <w:t>— Пакет «Заявки»: форма на сайте, CRM, уведомления, автоответы. 150–200 тыс. ₽, срок 7–10 дней.</w:t>
      </w:r>
    </w:p>
    <w:p>
      <w:pPr>
        <w:spacing w:after="60"/>
        <w:ind w:left="454" w:hanging="227"/>
        <w:jc w:val="both"/>
      </w:pPr>
      <w:r>
        <w:rPr>
          <w:sz w:val="22"/>
        </w:rPr>
        <w:t>— Пакет «AI-обработка»: квалификация лидов, автоответы на типовые вопросы, разбор обращений. 250–350 тыс. ₽.</w:t>
      </w:r>
    </w:p>
    <w:p>
      <w:pPr>
        <w:spacing w:after="60"/>
        <w:ind w:left="454" w:hanging="227"/>
        <w:jc w:val="both"/>
      </w:pPr>
      <w:r>
        <w:rPr>
          <w:sz w:val="22"/>
        </w:rPr>
        <w:t>— Пакет «Под ключ»: связка всех систем, дашборд, аналитика. От 500 тыс. ₽.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Типовые пакеты собираются из повторяемых блоков. Каждый следующий проект делается быстрее предыдущего, маржинальность растёт без повышения цены.</w:t>
      </w:r>
    </w:p>
    <w:p>
      <w:pPr>
        <w:spacing w:after="40"/>
        <w:ind w:firstLine="567"/>
        <w:jc w:val="both"/>
      </w:pPr>
      <w:r>
        <w:rPr>
          <w:b/>
          <w:i w:val="0"/>
        </w:rPr>
        <w:t>Шаг 4. Выстроить воспроизводимый процесс продаж.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Нужны: источник входящих обращений, скрипт первого разговора, шаблон коммерческого предложения, CRM с воронкой и понятные этапы сделки. Пока продажи зависят от участия собственника в каждой сделке, направление не масштабируется и отнимает время, которое должно идти на продукты.</w:t>
      </w:r>
    </w:p>
    <w:p>
      <w:pPr>
        <w:spacing w:before="160" w:after="60"/>
        <w:jc w:val="left"/>
      </w:pPr>
      <w:r>
        <w:rPr>
          <w:b/>
          <w:sz w:val="24"/>
        </w:rPr>
        <w:t>Целевые показатели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Период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Проекты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Сопровождение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Доход/мес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Месяцы 1–6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 проекта по 200 тыс.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5–8 клиентов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400–600 тыс. ₽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Месяцы 7–12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2–3 проекта по 250 тыс.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15–20 клиентов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900 тыс. – 1,2 млн ₽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Год 2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 проекта по 300 тыс.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25–30 клиентов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1,2–1,5 млн ₽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Важно: после выхода на 1,2–1,5 млн ₽ в месяц направление намеренно не расширяется дальше. Рост здесь требует найма людей и съедает ресурс, нужный продуктам. Задача автоматизации — стабильно кормить, а не расти бесконечно.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НАПРАВЛЕНИЕ 2. АВАНГАРД — флагманский продукт</w:t>
      </w:r>
    </w:p>
    <w:p>
      <w:pPr>
        <w:spacing w:after="120"/>
        <w:ind w:firstLine="567"/>
        <w:jc w:val="both"/>
      </w:pPr>
      <w:r>
        <w:rPr>
          <w:b/>
          <w:i w:val="0"/>
        </w:rPr>
        <w:t>Роль: основной источник дохода и капитализации к концу трёхлетнего периода.</w:t>
      </w:r>
    </w:p>
    <w:p>
      <w:pPr>
        <w:spacing w:before="160" w:after="60"/>
        <w:jc w:val="left"/>
      </w:pPr>
      <w:r>
        <w:rPr>
          <w:b/>
          <w:sz w:val="24"/>
        </w:rPr>
        <w:t>Что уже сделано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Платформа проработана серьёзно: более двадцати калькуляторов по видам работ — окна, потолки, полы, электрика, санузел, новостройка, под ключ, баня, каркасник, офис, мебель. Есть RoomScan AI со сканированием комнаты телефоном, ИИ-эксперт, хоумстейджинг, органайзер ремонта, смета по загруженному ТЗ, готовые дизайн-проекты, каталог и раздел для мастеров. Подключён партнёр — Лемана Про.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Это не прототип, а работающий продукт с широкой функциональностью. Главная проблема здесь не в разработке.</w:t>
      </w:r>
    </w:p>
    <w:p>
      <w:pPr>
        <w:spacing w:before="160" w:after="60"/>
        <w:jc w:val="left"/>
      </w:pPr>
      <w:r>
        <w:rPr>
          <w:b/>
          <w:sz w:val="24"/>
        </w:rPr>
        <w:t>Главная проблема: продукт делает слишком много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Двадцать калькуляторов на одной странице создают у посетителя паралич выбора. Человек, который зашёл узнать стоимость ремонта санузла, видит баню, каркасник, офис, хоумстейджинг и мебель — и уходит, не начав считать.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Нужно определить один главный сценарий входа и вывести его на первый план, остальное убрать во второй уровень. Судя по логике рынка, главный сценарий — расчёт сметы на ремонт квартиры. Всё остальное должно открываться уже после того, как человек получил первую смету.</w:t>
      </w:r>
    </w:p>
    <w:p>
      <w:pPr>
        <w:spacing w:before="160" w:after="60"/>
        <w:jc w:val="left"/>
      </w:pPr>
      <w:r>
        <w:rPr>
          <w:b/>
          <w:sz w:val="24"/>
        </w:rPr>
        <w:t>Вторая проблема: непонятно, на чём зарабатываем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 сайте есть раздел «Цены» с тарифами на дизайн-проект и смету, есть партнёрская программа для мастеров, есть каталог товаров. Три разные модели монетизации одновременно — значит, ни одна не отработана до конца.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Нужно выбрать основную. Наиболее перспективная для этого рынка — комиссия с заявок, передаваемых мастерам и поставщикам. Человек получает смету бесплатно, платит подрядчик за доступ к клиенту. Это работает лучше подписки, потому что не требует от частного клиента платить за то, что он считает разовой услугой.</w:t>
      </w:r>
    </w:p>
    <w:p>
      <w:pPr>
        <w:spacing w:before="160" w:after="60"/>
        <w:jc w:val="left"/>
      </w:pPr>
      <w:r>
        <w:rPr>
          <w:b/>
          <w:sz w:val="24"/>
        </w:rPr>
        <w:t>Третья проблема: счётчики на главной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 странице показаны цифры: «1 046 смет сделано сегодня», «17 человек считают прямо сейчас», «1 804 заявок мастерам за месяц», «8,4 млн ₽ сэкономлено клиентами», «С 2020 года», «Рейтинг 4.8».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Если эти данные реальные — отлично, они сильно работают на доверие. Если это статичные или сгенерированные числа, их нужно убрать. Риск тот же, что был на сайте компании: партнёр уровня Лемана Про или крупный застройщик проверяет такие заявления, и расхождение обнуляет переговоры. Отдельно: указание «С 2020 года» при компании, зарегистрированной позже, создаёт прямое противоречие.</w:t>
      </w:r>
    </w:p>
    <w:p>
      <w:pPr>
        <w:spacing w:before="160" w:after="60"/>
        <w:jc w:val="left"/>
      </w:pPr>
      <w:r>
        <w:rPr>
          <w:b/>
          <w:sz w:val="24"/>
        </w:rPr>
        <w:t>План на первый год</w:t>
      </w:r>
    </w:p>
    <w:p>
      <w:pPr>
        <w:spacing w:after="40"/>
        <w:ind w:firstLine="567"/>
        <w:jc w:val="both"/>
      </w:pPr>
      <w:r>
        <w:rPr>
          <w:b/>
          <w:i w:val="0"/>
        </w:rPr>
        <w:t>Месяцы 1–3. Фокусировка.</w:t>
      </w:r>
    </w:p>
    <w:p>
      <w:pPr>
        <w:spacing w:after="60"/>
        <w:ind w:left="454" w:hanging="227"/>
        <w:jc w:val="both"/>
      </w:pPr>
      <w:r>
        <w:rPr>
          <w:sz w:val="22"/>
        </w:rPr>
        <w:t>— Определить главный сценарий входа и перестроить главную страницу вокруг него. Один заметный призыв к действию вместо двадцати равнозначных плиток.</w:t>
      </w:r>
    </w:p>
    <w:p>
      <w:pPr>
        <w:spacing w:after="60"/>
        <w:ind w:left="454" w:hanging="227"/>
        <w:jc w:val="both"/>
      </w:pPr>
      <w:r>
        <w:rPr>
          <w:sz w:val="22"/>
        </w:rPr>
        <w:t>— Выбрать основную модель монетизации и довести её до конца. Остальные — отключить или убрать с витрины до момента, когда основная заработает.</w:t>
      </w:r>
    </w:p>
    <w:p>
      <w:pPr>
        <w:spacing w:after="60"/>
        <w:ind w:left="454" w:hanging="227"/>
        <w:jc w:val="both"/>
      </w:pPr>
      <w:r>
        <w:rPr>
          <w:sz w:val="22"/>
        </w:rPr>
        <w:t>— Проверить достоверность всех числовых заявлений на сайте, недостоверные убрать.</w:t>
      </w:r>
    </w:p>
    <w:p>
      <w:pPr>
        <w:spacing w:after="60"/>
        <w:ind w:left="454" w:hanging="227"/>
        <w:jc w:val="both"/>
      </w:pPr>
      <w:r>
        <w:rPr>
          <w:sz w:val="22"/>
        </w:rPr>
        <w:t>— Настроить аналитику: сколько людей начинают расчёт, сколько доходят до результата, сколько оставляют контакты. Без этих данных любые решения по продукту — угадывание.</w:t>
      </w:r>
    </w:p>
    <w:p>
      <w:pPr>
        <w:spacing w:after="60"/>
        <w:ind w:left="454" w:hanging="227"/>
        <w:jc w:val="both"/>
      </w:pPr>
      <w:r>
        <w:rPr>
          <w:sz w:val="22"/>
        </w:rPr>
        <w:t>— Зарегистрировать программу для ЭВМ и товарный знак АВАНГАРД.</w:t>
      </w:r>
    </w:p>
    <w:p>
      <w:pPr>
        <w:spacing w:after="40"/>
        <w:ind w:firstLine="567"/>
        <w:jc w:val="both"/>
      </w:pPr>
      <w:r>
        <w:rPr>
          <w:b/>
          <w:i w:val="0"/>
        </w:rPr>
        <w:t>Месяцы 4–6. Партнёрский канал.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Ключевая задача периода — превратить статус партнёра Лемана Про в работающий поток клиентов. Сейчас это упоминание на сайте, а не канал продаж.</w:t>
      </w:r>
    </w:p>
    <w:p>
      <w:pPr>
        <w:spacing w:after="60"/>
        <w:ind w:left="454" w:hanging="227"/>
        <w:jc w:val="both"/>
      </w:pPr>
      <w:r>
        <w:rPr>
          <w:sz w:val="22"/>
        </w:rPr>
        <w:t>— Выйти на Лемана Про с конкретным предложением пилота, а не с обсуждением партнёрства вообще: калькулятор сметы, встроенный в клиентский путь сети, с подбором материалов из их ассортимента.</w:t>
      </w:r>
    </w:p>
    <w:p>
      <w:pPr>
        <w:spacing w:after="60"/>
        <w:ind w:left="454" w:hanging="227"/>
        <w:jc w:val="both"/>
      </w:pPr>
      <w:r>
        <w:rPr>
          <w:sz w:val="22"/>
        </w:rPr>
        <w:t>— Набрать 30–50 мастеров и подрядчиков в партнёрскую базу. Без исполнителей платформа не закрывает цикл: человек получил смету, а дальше идти некуда.</w:t>
      </w:r>
    </w:p>
    <w:p>
      <w:pPr>
        <w:spacing w:after="60"/>
        <w:ind w:left="454" w:hanging="227"/>
        <w:jc w:val="both"/>
      </w:pPr>
      <w:r>
        <w:rPr>
          <w:sz w:val="22"/>
        </w:rPr>
        <w:t>— Запустить приём заявок мастерам и отладить передачу лидов.</w:t>
      </w:r>
    </w:p>
    <w:p>
      <w:pPr>
        <w:spacing w:after="40"/>
        <w:ind w:firstLine="567"/>
        <w:jc w:val="both"/>
      </w:pPr>
      <w:r>
        <w:rPr>
          <w:b/>
          <w:i w:val="0"/>
        </w:rPr>
        <w:t>Месяцы 7–12. Монетизация.</w:t>
      </w:r>
    </w:p>
    <w:p>
      <w:pPr>
        <w:spacing w:after="60"/>
        <w:ind w:left="454" w:hanging="227"/>
        <w:jc w:val="both"/>
      </w:pPr>
      <w:r>
        <w:rPr>
          <w:sz w:val="22"/>
        </w:rPr>
        <w:t>— Вывести партнёрскую модель на оплату: мастера платят за доступ к заявкам.</w:t>
      </w:r>
    </w:p>
    <w:p>
      <w:pPr>
        <w:spacing w:after="60"/>
        <w:ind w:left="454" w:hanging="227"/>
        <w:jc w:val="both"/>
      </w:pPr>
      <w:r>
        <w:rPr>
          <w:sz w:val="22"/>
        </w:rPr>
        <w:t>— Подключить поставщиков материалов — второй источник комиссии.</w:t>
      </w:r>
    </w:p>
    <w:p>
      <w:pPr>
        <w:spacing w:after="60"/>
        <w:ind w:left="454" w:hanging="227"/>
        <w:jc w:val="both"/>
      </w:pPr>
      <w:r>
        <w:rPr>
          <w:sz w:val="22"/>
        </w:rPr>
        <w:t>— Выйти на корпоративный сегмент: застройщики, управляющие компании, сети магазинов отделочных материалов. Чеки здесь в десятки раз выше розничных.</w:t>
      </w:r>
    </w:p>
    <w:p>
      <w:pPr>
        <w:spacing w:after="60"/>
        <w:ind w:left="454" w:hanging="227"/>
        <w:jc w:val="both"/>
      </w:pPr>
      <w:r>
        <w:rPr>
          <w:sz w:val="22"/>
        </w:rPr>
        <w:t>— Целевой доход направления к концу первого года: 300–500 тыс. ₽ в месяц.</w:t>
      </w:r>
    </w:p>
    <w:p>
      <w:pPr>
        <w:spacing w:before="160" w:after="60"/>
        <w:jc w:val="left"/>
      </w:pPr>
      <w:r>
        <w:rPr>
          <w:b/>
          <w:sz w:val="24"/>
        </w:rPr>
        <w:t>Годы 2–3</w:t>
      </w:r>
    </w:p>
    <w:p>
      <w:pPr>
        <w:spacing w:after="60"/>
        <w:ind w:left="454" w:hanging="227"/>
        <w:jc w:val="both"/>
      </w:pPr>
      <w:r>
        <w:rPr>
          <w:sz w:val="22"/>
        </w:rPr>
        <w:t>— Год 2: масштабирование партнёрской сети на 5–10 регионов, доход 1–1,5 млн ₽ в месяц. Подача на грант «Развитие» — к этому моменту будет выполнено требование о продажах собственного продукта.</w:t>
      </w:r>
    </w:p>
    <w:p>
      <w:pPr>
        <w:spacing w:after="60"/>
        <w:ind w:left="454" w:hanging="227"/>
        <w:jc w:val="both"/>
      </w:pPr>
      <w:r>
        <w:rPr>
          <w:sz w:val="22"/>
        </w:rPr>
        <w:t>— Год 3: федеральное покрытие, корпоративные контракты, доход 2,5–4 млн ₽ в месяц. Оформление портфеля интеллектуальной собственности — это то, что формирует стоимость компании при привлечении инвестора.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НАПРАВЛЕНИЕ 3. УЧИСЬПРО</w:t>
      </w:r>
    </w:p>
    <w:p>
      <w:pPr>
        <w:spacing w:after="120"/>
        <w:ind w:firstLine="567"/>
        <w:jc w:val="both"/>
      </w:pPr>
      <w:r>
        <w:rPr>
          <w:b/>
          <w:i w:val="0"/>
        </w:rPr>
        <w:t>Роль: второй продукт с массовым охватом. Требует наименьших ресурсов в первый год и наибольшего терпения.</w:t>
      </w:r>
    </w:p>
    <w:p>
      <w:pPr>
        <w:spacing w:before="160" w:after="60"/>
        <w:jc w:val="left"/>
      </w:pPr>
      <w:r>
        <w:rPr>
          <w:b/>
          <w:sz w:val="24"/>
        </w:rPr>
        <w:t>Что уже сделано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Платформа с ИИ-репетитором, голосовым ассистентом, каталогом из 35 курсов и 31 мини-курса. Есть бесплатные курсы, партнёрство с Точкой, акция «3 месяца за 1 ₽, далее 399 ₽/мес». Аудитория охватывает и школьников, и взрослых.</w:t>
      </w:r>
    </w:p>
    <w:p>
      <w:pPr>
        <w:spacing w:before="160" w:after="60"/>
        <w:jc w:val="left"/>
      </w:pPr>
      <w:r>
        <w:rPr>
          <w:b/>
          <w:sz w:val="24"/>
        </w:rPr>
        <w:t>Честная оценка рынка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EdTech — самый сложный из трёх рынков. Конкуренты с многомиллиардными бюджетами на маркетинг: Skysmart, Учи.ру, Фоксфорд, Умскул. Стоимость привлечения одного платящего ученика в этой нише высокая, и она растёт. Органический рост без бюджета здесь работает медленнее, чем в B2B.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Это не значит, что направление бесперспективно. Это значит, что в первый год в него нельзя вкладывать деньги, которые нужны другим направлениям. УЧИСЬПРО должно расти органически, пока автоматизация и АВАНГАРД не начнут давать прибыль на его продвижение.</w:t>
      </w:r>
    </w:p>
    <w:p>
      <w:pPr>
        <w:spacing w:before="160" w:after="60"/>
        <w:jc w:val="left"/>
      </w:pPr>
      <w:r>
        <w:rPr>
          <w:b/>
          <w:sz w:val="24"/>
        </w:rPr>
        <w:t>Проблема позиционирования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Сейчас платформа обращается одновременно к четырём аудиториям: малыши, школьники, взрослые, бизнес. Это разные люди с разной мотивацией, разной готовностью платить и разными каналами привлечения. Родитель девятиклассника перед ОГЭ и взрослый, который хочет освоить нейросети для фриланса — это два разных продукта, склеенных в один сайт.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Для роста нужно выбрать одну аудиторию и стать заметным в ней. Наиболее перспективный сегмент — подготовка к ОГЭ и ЕГЭ: там есть острая боль, жёсткий дедлайн и родитель, готовый платить. Обещание «доводит до 90+ баллов» бьёт точно в эту аудиторию.</w:t>
      </w:r>
    </w:p>
    <w:p>
      <w:pPr>
        <w:spacing w:before="160" w:after="60"/>
        <w:jc w:val="left"/>
      </w:pPr>
      <w:r>
        <w:rPr>
          <w:b/>
          <w:sz w:val="24"/>
        </w:rPr>
        <w:t>Замечание по модели оплаты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 сайте одновременно присутствуют подписка 399 ₽ в месяц и формулировка «каждый курс покупается отдельно, оплата разовая — доступ навсегда». Это два несовместимых подхода, и посетитель не понимает, за что платит.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Подписка выгоднее: она даёт предсказуемый ежемесячный доход, тогда как разовая продажа требует постоянного притока новых покупателей. Нужно выбрать подписку как основную модель и убрать противоречие.</w:t>
      </w:r>
    </w:p>
    <w:p>
      <w:pPr>
        <w:spacing w:before="160" w:after="60"/>
        <w:jc w:val="left"/>
      </w:pPr>
      <w:r>
        <w:rPr>
          <w:b/>
          <w:sz w:val="24"/>
        </w:rPr>
        <w:t>План на первый год</w:t>
      </w:r>
    </w:p>
    <w:p>
      <w:pPr>
        <w:spacing w:after="60"/>
        <w:ind w:left="454" w:hanging="227"/>
        <w:jc w:val="both"/>
      </w:pPr>
      <w:r>
        <w:rPr>
          <w:sz w:val="22"/>
        </w:rPr>
        <w:t>— Месяцы 1–3: выбрать главную аудиторию, устранить противоречие в моделях оплаты, настроить аналитику воронки от захода до оплаты.</w:t>
      </w:r>
    </w:p>
    <w:p>
      <w:pPr>
        <w:spacing w:after="60"/>
        <w:ind w:left="454" w:hanging="227"/>
        <w:jc w:val="both"/>
      </w:pPr>
      <w:r>
        <w:rPr>
          <w:sz w:val="22"/>
        </w:rPr>
        <w:t>— Месяцы 4–6: раскрыть партнёрство с Точкой — их клиенты это предприниматели с детьми школьного возраста, готовый канал доступа к платёжеспособной аудитории.</w:t>
      </w:r>
    </w:p>
    <w:p>
      <w:pPr>
        <w:spacing w:after="60"/>
        <w:ind w:left="454" w:hanging="227"/>
        <w:jc w:val="both"/>
      </w:pPr>
      <w:r>
        <w:rPr>
          <w:sz w:val="22"/>
        </w:rPr>
        <w:t>— Месяцы 7–12: органический рост через бесплатные курсы как воронку. Бесплатный курс приводит человека, платная подписка удерживает. Цель года — 150–300 платящих подписчиков, 60–120 тыс. ₽ в месяц.</w:t>
      </w:r>
    </w:p>
    <w:p>
      <w:pPr>
        <w:spacing w:after="60"/>
        <w:ind w:left="454" w:hanging="227"/>
        <w:jc w:val="both"/>
      </w:pPr>
      <w:r>
        <w:rPr>
          <w:sz w:val="22"/>
        </w:rPr>
        <w:t>— Год 2: при подтверждённой экономике привлечения — платный маркетинг, 1000–1500 подписчиков, 400–600 тыс. ₽ в месяц.</w:t>
      </w:r>
    </w:p>
    <w:p>
      <w:pPr>
        <w:spacing w:after="60"/>
        <w:ind w:left="454" w:hanging="227"/>
        <w:jc w:val="both"/>
      </w:pPr>
      <w:r>
        <w:rPr>
          <w:sz w:val="22"/>
        </w:rPr>
        <w:t>— Год 3: выход в сегмент школ и образовательных учреждений — B2B-продажи лицензий дают более высокий чек при меньших затратах на привлечение.</w:t>
      </w:r>
    </w:p>
    <w:p>
      <w:pPr>
        <w:spacing w:after="120"/>
        <w:ind w:firstLine="567"/>
        <w:jc w:val="both"/>
      </w:pPr>
      <w:r>
        <w:rPr>
          <w:b/>
          <w:i w:val="0"/>
        </w:rPr>
        <w:t>Ключевое условие: не вкладывать в маркетинг УЧИСЬПРО до тех пор, пока не посчитана стоимость привлечения одного платящего пользователя и не подтверждено, что она ниже дохода с него. Без этих цифр рекламный бюджет уходит в никуда.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Сводная картина по доходу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Период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Автоматизация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АВАНГАРД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УЧИСЬПРО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Мес. 6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400–600 тыс.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запуск монетизации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0–20 тыс.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Мес. 12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0,9–1,2 млн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300–500 тыс.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60–120 тыс.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Год 2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1,2–1,5 млн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1–1,5 млн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400–600 тыс.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Год 3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1,2–1,5 млн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2,5–4 млн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1–1,5 млн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Отметка в 1 000 000 ₽ в месяц достигается к концу первого года — преимущественно за счёт автоматизации с поддержкой АВАНГАРДа. К третьему году структура переворачивается: продукты дают основную часть дохода, услуги становятся дополнением.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Напоминание из предыдущего документа: миллион выручки и миллион чистой прибыли — разные величины. При наличии фонда оплаты труда и инфраструктурных расходов для чистого миллиона нужна выручка в 2,5–3 раза выше.</w:t>
      </w:r>
    </w:p>
    <w:p>
      <w:pPr>
        <w:spacing w:before="160" w:after="80"/>
        <w:jc w:val="left"/>
      </w:pPr>
      <w:r>
        <w:rPr>
          <w:b/>
          <w:sz w:val="26"/>
        </w:rPr>
        <w:t>Что объединяет все три направления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Три проблемы повторяются в каждом направлении, и решаются они одинаково.</w:t>
      </w:r>
    </w:p>
    <w:p>
      <w:pPr>
        <w:spacing w:after="40"/>
        <w:ind w:firstLine="567"/>
        <w:jc w:val="both"/>
      </w:pPr>
      <w:r>
        <w:rPr>
          <w:b/>
          <w:i w:val="0"/>
        </w:rPr>
        <w:t>Первое — избыточность функций.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У АВАНГАРДа двадцать калькуляторов, у УЧИСЬПРО четыре аудитории, у автоматизации шесть направлений услуг. Везде одно и то же: сделано много, но непонятно, что главное. Пользователь не выбирает из двадцати вариантов — он уходит. Каждому продукту нужен один очевидный вход.</w:t>
      </w:r>
    </w:p>
    <w:p>
      <w:pPr>
        <w:spacing w:after="40"/>
        <w:ind w:firstLine="567"/>
        <w:jc w:val="both"/>
      </w:pPr>
      <w:r>
        <w:rPr>
          <w:b/>
          <w:i w:val="0"/>
        </w:rPr>
        <w:t>Второе — несколько моделей монетизации одновременно.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АВАНГАРД: тарифы, партнёрская программа, каталог. УЧИСЬПРО: подписка и разовые покупки. Услуги: разовые проекты без сопровождения. Несколько моделей сразу означают, что ни одна не доведена до работающего состояния. Нужно выбрать по одной основной и отработать её до конца.</w:t>
      </w:r>
    </w:p>
    <w:p>
      <w:pPr>
        <w:spacing w:after="40"/>
        <w:ind w:firstLine="567"/>
        <w:jc w:val="both"/>
      </w:pPr>
      <w:r>
        <w:rPr>
          <w:b/>
          <w:i w:val="0"/>
        </w:rPr>
        <w:t>Третье — непроверяемые цифры.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 сайте компании они уже убраны. На АВАНГАРДе остались счётчики смет, экономии и год основания «с 2020». Это тот же риск: первый же серьёзный партнёр или грантовый эксперт проверит и не поверит остальному. Устраняется за один день, стоит ноль, снимает системную угрозу.</w:t>
      </w:r>
    </w:p>
    <w:p>
      <w:pPr>
        <w:spacing w:before="160" w:after="80"/>
        <w:jc w:val="left"/>
      </w:pPr>
      <w:r>
        <w:rPr>
          <w:b/>
          <w:sz w:val="26"/>
        </w:rPr>
        <w:t>Первые семь шагов</w:t>
      </w:r>
    </w:p>
    <w:p>
      <w:pPr>
        <w:spacing w:after="80"/>
        <w:ind w:left="454" w:hanging="454"/>
        <w:jc w:val="both"/>
      </w:pPr>
      <w:r>
        <w:rPr>
          <w:b/>
        </w:rPr>
        <w:t xml:space="preserve">1. </w:t>
      </w:r>
      <w:r>
        <w:t>Поднять цены на автоматизацию: минимальный чек от 150 000 ₽, дешёвые позиции убрать из прайса.</w:t>
      </w:r>
    </w:p>
    <w:p>
      <w:pPr>
        <w:spacing w:after="80"/>
        <w:ind w:left="454" w:hanging="454"/>
        <w:jc w:val="both"/>
      </w:pPr>
      <w:r>
        <w:rPr>
          <w:b/>
        </w:rPr>
        <w:t xml:space="preserve">2. </w:t>
      </w:r>
      <w:r>
        <w:t>Предложить абонентское сопровождение всем текущим и прошлым клиентам — самый быстрый источник предсказуемого дохода.</w:t>
      </w:r>
    </w:p>
    <w:p>
      <w:pPr>
        <w:spacing w:after="80"/>
        <w:ind w:left="454" w:hanging="454"/>
        <w:jc w:val="both"/>
      </w:pPr>
      <w:r>
        <w:rPr>
          <w:b/>
        </w:rPr>
        <w:t xml:space="preserve">3. </w:t>
      </w:r>
      <w:r>
        <w:t>Проверить и убрать недостоверные числовые заявления на avangard-ai.ru.</w:t>
      </w:r>
    </w:p>
    <w:p>
      <w:pPr>
        <w:spacing w:after="80"/>
        <w:ind w:left="454" w:hanging="454"/>
        <w:jc w:val="both"/>
      </w:pPr>
      <w:r>
        <w:rPr>
          <w:b/>
        </w:rPr>
        <w:t xml:space="preserve">4. </w:t>
      </w:r>
      <w:r>
        <w:t>Определить один главный сценарий входа для АВАНГАРДа и перестроить главную страницу вокруг него.</w:t>
      </w:r>
    </w:p>
    <w:p>
      <w:pPr>
        <w:spacing w:after="80"/>
        <w:ind w:left="454" w:hanging="454"/>
        <w:jc w:val="both"/>
      </w:pPr>
      <w:r>
        <w:rPr>
          <w:b/>
        </w:rPr>
        <w:t xml:space="preserve">5. </w:t>
      </w:r>
      <w:r>
        <w:t>Выйти на Лемана Про с конкретным предложением пилотного проекта.</w:t>
      </w:r>
    </w:p>
    <w:p>
      <w:pPr>
        <w:spacing w:after="80"/>
        <w:ind w:left="454" w:hanging="454"/>
        <w:jc w:val="both"/>
      </w:pPr>
      <w:r>
        <w:rPr>
          <w:b/>
        </w:rPr>
        <w:t xml:space="preserve">6. </w:t>
      </w:r>
      <w:r>
        <w:t>Устранить противоречие между подпиской и разовой оплатой на УЧИСЬПРО, выбрать подписку.</w:t>
      </w:r>
    </w:p>
    <w:p>
      <w:pPr>
        <w:spacing w:after="80"/>
        <w:ind w:left="454" w:hanging="454"/>
        <w:jc w:val="both"/>
      </w:pPr>
      <w:r>
        <w:rPr>
          <w:b/>
        </w:rPr>
        <w:t xml:space="preserve">7. </w:t>
      </w:r>
      <w:r>
        <w:t>Настроить сквозную аналитику на всех трёх направлениях — без цифр воронки дальнейшие решения принимаются вслепую.</w:t>
      </w:r>
    </w:p>
    <w:p>
      <w:pPr>
        <w:spacing w:after="200"/>
        <w:jc w:val="both"/>
      </w:pPr>
      <w:r>
        <w:rPr>
          <w:b w:val="0"/>
          <w:i w:val="0"/>
        </w:rPr>
      </w:r>
    </w:p>
    <w:p>
      <w:pPr>
        <w:spacing w:before="160" w:after="80"/>
        <w:jc w:val="left"/>
      </w:pPr>
      <w:r>
        <w:rPr>
          <w:b/>
          <w:sz w:val="24"/>
        </w:rPr>
        <w:t>Главный риск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Он один и тот же на всех уровнях: попытка развивать три направления с одинаковой интенсивностью. Ресурсов на это нет ни у одной компании такого размера. Автоматизация должна приносить деньги, АВАНГАРД — расти, УЧИСЬПРО — не требовать вложений до того, как появится прибыль на его продвижение. Нарушение этого баланса в любую сторону откладывает результат на год.</w:t>
      </w:r>
    </w:p>
    <w:p>
      <w:pPr>
        <w:spacing w:after="240"/>
        <w:jc w:val="both"/>
      </w:pPr>
      <w:r>
        <w:rPr>
          <w:b w:val="0"/>
          <w:i w:val="0"/>
        </w:rPr>
      </w:r>
    </w:p>
    <w:p>
      <w:pPr>
        <w:spacing w:after="120"/>
        <w:jc w:val="both"/>
      </w:pPr>
      <w:r>
        <w:rPr>
          <w:b w:val="0"/>
          <w:i/>
          <w:sz w:val="18"/>
        </w:rPr>
        <w:t>Документ подготовлен на основании анализа сайтов mat-labs.ru, avangard-ai.ru, учисьпро.рф и открытых данных по состоянию на сентябрь 2026 г. Финансовые оценки ориентировочные, подлежат уточнению после анализа фактических показателей.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