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sz w:val="28"/>
        </w:rPr>
        <w:t>ЗАЯВКА НА ПОЛУЧЕНИЕ СТАТУСА УЧАСТНИКА</w:t>
      </w:r>
    </w:p>
    <w:p>
      <w:pPr>
        <w:spacing w:after="160"/>
        <w:jc w:val="center"/>
      </w:pPr>
      <w:r>
        <w:rPr>
          <w:b/>
          <w:i w:val="0"/>
          <w:sz w:val="28"/>
        </w:rPr>
        <w:t>ИННОВАЦИОННОГО ЦЕНТРА «СКОЛКОВО»</w:t>
      </w:r>
    </w:p>
    <w:p>
      <w:pPr>
        <w:spacing w:after="40"/>
        <w:jc w:val="center"/>
      </w:pPr>
      <w:r>
        <w:rPr>
          <w:b/>
          <w:i w:val="0"/>
          <w:sz w:val="26"/>
        </w:rPr>
        <w:t>Проект «АгроПорт»</w:t>
      </w:r>
    </w:p>
    <w:p>
      <w:pPr>
        <w:spacing w:after="160"/>
        <w:jc w:val="center"/>
      </w:pPr>
      <w:r>
        <w:rPr>
          <w:b w:val="0"/>
          <w:i/>
          <w:sz w:val="22"/>
        </w:rPr>
        <w:t>Система предиктивной аналитики агропродовольственного рынка на основе ансамблевых моделей машинного обучения и данных дистанционного зондирования Земли</w:t>
      </w:r>
    </w:p>
    <w:p>
      <w:pPr>
        <w:spacing w:after="40"/>
        <w:jc w:val="center"/>
      </w:pPr>
      <w:r>
        <w:rPr>
          <w:b w:val="0"/>
          <w:i w:val="0"/>
          <w:sz w:val="20"/>
        </w:rPr>
        <w:t>Кластер информационных технологий</w:t>
      </w:r>
    </w:p>
    <w:p>
      <w:pPr>
        <w:spacing w:after="280"/>
        <w:jc w:val="center"/>
      </w:pPr>
      <w:r>
        <w:rPr>
          <w:b w:val="0"/>
          <w:i w:val="0"/>
          <w:sz w:val="20"/>
        </w:rPr>
        <w:t>Сентябрь 2026 г.</w:t>
      </w:r>
    </w:p>
    <w:p>
      <w:pPr>
        <w:spacing w:before="160" w:after="80"/>
        <w:jc w:val="left"/>
      </w:pPr>
      <w:r>
        <w:rPr>
          <w:b/>
          <w:sz w:val="26"/>
        </w:rPr>
        <w:t>Как пользоваться документом</w:t>
      </w:r>
    </w:p>
    <w:p>
      <w:pPr>
        <w:spacing w:after="120"/>
        <w:ind w:firstLine="567"/>
        <w:jc w:val="both"/>
      </w:pPr>
      <w:r>
        <w:rPr>
          <w:b/>
          <w:i w:val="0"/>
        </w:rPr>
        <w:t>Это рабочая заготовка заявки, а не финальный текст для подачи. Формулировки, структура аргументации и логика по четырём критериям экспертизы готовы к использованию. Места, где нужны ваши фактические данные, помечены символами [ ... ] — их необходимо заполнить до подачи.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Принципиально важно: не заменяйте пропуски приблизительными или желаемыми цифрами. Эксперты задают уточняющие вопросы, и расхождение заявленных показателей с реальными — основание для отказа. Если точного значения нет, его нужно измерить до подачи либо убрать утверждение целиком.</w:t>
      </w:r>
    </w:p>
    <w:p>
      <w:r>
        <w:br w:type="page"/>
      </w:r>
    </w:p>
    <w:p>
      <w:pPr>
        <w:spacing w:before="160" w:after="80"/>
        <w:jc w:val="left"/>
      </w:pPr>
      <w:r>
        <w:rPr>
          <w:b/>
          <w:sz w:val="28"/>
        </w:rPr>
        <w:t>Раздел 1. Краткое описание проекта</w:t>
      </w:r>
    </w:p>
    <w:p>
      <w:pPr>
        <w:spacing w:before="160" w:after="60"/>
        <w:jc w:val="left"/>
      </w:pPr>
      <w:r>
        <w:rPr>
          <w:b/>
          <w:sz w:val="24"/>
        </w:rPr>
        <w:t>Решаемая проблема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Участники агропродовольственного рынка принимают решения о сроках продажи урожая, объёмах хранения и логистике в условиях высокой ценовой волатильности. Ошибка в выборе момента реализации партии зерна оборачивается прямыми потерями, сопоставимыми с маржинальностью сезона.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Существующие источники информации разрознены: биржевые котировки, данные о состоянии посевов, погодные ряды и логистические тарифы существуют независимо друг от друга и не сводятся в прогноз. Профессиональные терминалы международных поставщиков для российского рынка недоступны, а их модели не учитывают специфику отечественного агропроизводства и логистики.</w:t>
      </w:r>
    </w:p>
    <w:p>
      <w:pPr>
        <w:spacing w:before="160" w:after="60"/>
        <w:jc w:val="left"/>
      </w:pPr>
      <w:r>
        <w:rPr>
          <w:b/>
          <w:sz w:val="24"/>
        </w:rPr>
        <w:t>Предлагаемое решение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«АгроПорт» — программная платформа, которая объединяет разнородные источники данных в единый прогнозный контур и выдаёт участнику рынка численный прогноз цены с оценкой достоверности, а также карту производственных рисков по регионам.</w:t>
      </w:r>
    </w:p>
    <w:p>
      <w:pPr>
        <w:spacing w:after="120"/>
        <w:ind w:firstLine="567"/>
        <w:jc w:val="both"/>
      </w:pPr>
      <w:r>
        <w:rPr>
          <w:b/>
          <w:i w:val="0"/>
        </w:rPr>
        <w:t>Платформа работает и доступна по адресу agroport-ai.ru. На момент подачи заявки реализованы прогнозирование цен на основные зерновые и масличные культуры, мониторинг состояния посевов по данным дистанционного зондирования и покрытие [ укажите точное число ] регионов Российской Федерации.</w:t>
      </w:r>
    </w:p>
    <w:p>
      <w:pPr>
        <w:spacing w:before="160" w:after="80"/>
        <w:jc w:val="left"/>
      </w:pPr>
      <w:r>
        <w:rPr>
          <w:b/>
          <w:sz w:val="28"/>
        </w:rPr>
        <w:t>Раздел 2. Объект инновационной разработки</w:t>
      </w:r>
    </w:p>
    <w:p>
      <w:pPr>
        <w:spacing w:after="120"/>
        <w:ind w:firstLine="567"/>
        <w:jc w:val="both"/>
      </w:pPr>
      <w:r>
        <w:rPr>
          <w:b/>
          <w:i w:val="0"/>
        </w:rPr>
        <w:t>Ниже разграничено, что является собственной разработкой команды, а что — стандартными компонентами. Это разграничение принципиально для экспертизы.</w:t>
      </w:r>
    </w:p>
    <w:p>
      <w:pPr>
        <w:spacing w:before="160" w:after="60"/>
        <w:jc w:val="left"/>
      </w:pPr>
      <w:r>
        <w:rPr>
          <w:b/>
          <w:sz w:val="24"/>
        </w:rPr>
        <w:t>2.1. Что НЕ заявляется как инновация</w:t>
      </w:r>
    </w:p>
    <w:p>
      <w:pPr>
        <w:spacing w:after="60"/>
        <w:ind w:left="454" w:hanging="227"/>
        <w:jc w:val="both"/>
      </w:pPr>
      <w:r>
        <w:rPr>
          <w:sz w:val="22"/>
        </w:rPr>
        <w:t>— Пользовательский интерфейс, личный кабинет, система авторизации.</w:t>
      </w:r>
    </w:p>
    <w:p>
      <w:pPr>
        <w:spacing w:after="60"/>
        <w:ind w:left="454" w:hanging="227"/>
        <w:jc w:val="both"/>
      </w:pPr>
      <w:r>
        <w:rPr>
          <w:sz w:val="22"/>
        </w:rPr>
        <w:t>— Сама по себе визуализация данных на картах и графиках.</w:t>
      </w:r>
    </w:p>
    <w:p>
      <w:pPr>
        <w:spacing w:after="60"/>
        <w:ind w:left="454" w:hanging="227"/>
        <w:jc w:val="both"/>
      </w:pPr>
      <w:r>
        <w:rPr>
          <w:sz w:val="22"/>
        </w:rPr>
        <w:t>— Использование открытых библиотек машинного обучения и готовых больших языковых моделей.</w:t>
      </w:r>
    </w:p>
    <w:p>
      <w:pPr>
        <w:spacing w:after="60"/>
        <w:ind w:left="454" w:hanging="227"/>
        <w:jc w:val="both"/>
      </w:pPr>
      <w:r>
        <w:rPr>
          <w:sz w:val="22"/>
        </w:rPr>
        <w:t>— Получение спутниковых снимков из открытых источников — данные внешние.</w:t>
      </w:r>
    </w:p>
    <w:p>
      <w:pPr>
        <w:spacing w:after="60"/>
        <w:ind w:left="454" w:hanging="227"/>
        <w:jc w:val="both"/>
      </w:pPr>
      <w:r>
        <w:rPr>
          <w:sz w:val="22"/>
        </w:rPr>
        <w:t>— Функциональность маркетплейса как торговой площадки.</w:t>
      </w:r>
    </w:p>
    <w:p>
      <w:pPr>
        <w:spacing w:before="160" w:after="60"/>
        <w:jc w:val="left"/>
      </w:pPr>
      <w:r>
        <w:rPr>
          <w:b/>
          <w:sz w:val="24"/>
        </w:rPr>
        <w:t>2.2. Что заявляется как инновация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Предмет разработки — методика и программная реализация ансамблевого прогнозирования цен агропродовольственного рынка, объединяющая статистические модели временных рядов с нейросетевыми архитектурами и признаками, извлечёнными из данных дистанционного зондирования.</w:t>
      </w:r>
    </w:p>
    <w:p>
      <w:pPr>
        <w:spacing w:after="40"/>
        <w:ind w:firstLine="567"/>
        <w:jc w:val="both"/>
      </w:pPr>
      <w:r>
        <w:rPr>
          <w:b/>
          <w:i w:val="0"/>
        </w:rPr>
        <w:t>Компонент 1. Ансамблевая прогнозная модель.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Комбинация модели класса ARIMA, описывающей сезонную и трендовую составляющие ценового ряда, с рекуррентной нейросетевой архитектурой, улавливающей нелинейные зависимости. Собственным результатом является не применение известных архитектур, а схема их взвешивания и набор признаков, специфичных для российского рынка: региональная структура производства, логистическое плечо до портов перевалки, характеристики экспортного регулирования.</w:t>
      </w:r>
    </w:p>
    <w:p>
      <w:pPr>
        <w:spacing w:after="120"/>
        <w:ind w:firstLine="567"/>
        <w:jc w:val="both"/>
      </w:pPr>
      <w:r>
        <w:rPr>
          <w:b/>
          <w:i w:val="0"/>
        </w:rPr>
        <w:t>Измеримая характеристика: средняя абсолютная процентная ошибка прогноза (MAPE) на горизонте [ укажите горизонт: 30/60/90 дней ] составляет [ укажите значение ]% против [ значение ]% у базовой модели «цена не изменится». Расчёт выполнен на исторических данных за период [ укажите период ].</w:t>
      </w:r>
    </w:p>
    <w:p>
      <w:pPr>
        <w:spacing w:after="40"/>
        <w:ind w:firstLine="567"/>
        <w:jc w:val="both"/>
      </w:pPr>
      <w:r>
        <w:rPr>
          <w:b/>
          <w:i w:val="0"/>
        </w:rPr>
        <w:t>Компонент 2. Модуль извлечения предиктивных признаков из спутниковых данных.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Обработка временных рядов вегетационного индекса NDVI с привязкой к фазам развития культур и последующим преобразованием в опережающие индикаторы урожайности. Собственным результатом является методика перехода от сырого индекса к признаку, значимому для ценового прогноза, с учётом региональных календарей сева и уборки.</w:t>
      </w:r>
    </w:p>
    <w:p>
      <w:pPr>
        <w:spacing w:after="120"/>
        <w:ind w:firstLine="567"/>
        <w:jc w:val="both"/>
      </w:pPr>
      <w:r>
        <w:rPr>
          <w:b/>
          <w:i w:val="0"/>
        </w:rPr>
        <w:t>Измеримая характеристика: корреляция построенного индикатора с фактической урожайностью по завершённым сезонам — [ укажите значение ]. Прирост точности ценового прогноза при добавлении признака — [ укажите значение ] процентных пункта.</w:t>
      </w:r>
    </w:p>
    <w:p>
      <w:pPr>
        <w:spacing w:after="40"/>
        <w:ind w:firstLine="567"/>
        <w:jc w:val="both"/>
      </w:pPr>
      <w:r>
        <w:rPr>
          <w:b/>
          <w:i w:val="0"/>
        </w:rPr>
        <w:t>Компонент 3. Модель оценки региональных рисков.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Сведение погодных аномалий, отклонений вегетационного индекса от многолетней нормы и производственной статистики в интегральную оценку риска недобора урожая по регионам.</w:t>
      </w:r>
    </w:p>
    <w:p>
      <w:pPr>
        <w:spacing w:after="120"/>
        <w:ind w:firstLine="567"/>
        <w:jc w:val="both"/>
      </w:pPr>
      <w:r>
        <w:rPr>
          <w:b/>
          <w:i w:val="0"/>
        </w:rPr>
        <w:t>Измеримая характеристика: доля верно классифицированных регионов с существенным отклонением урожайности от прогноза — [ укажите значение ]%.</w:t>
      </w:r>
    </w:p>
    <w:p>
      <w:pPr>
        <w:spacing w:after="120"/>
        <w:ind w:firstLine="567"/>
        <w:jc w:val="both"/>
      </w:pPr>
      <w:r>
        <w:rPr>
          <w:b/>
          <w:i/>
        </w:rPr>
        <w:t>Если какой-либо из показателей не измерялся, его следует измерить до подачи. Заявка с одним подтверждённым и корректно измеренным показателем сильнее заявки с тремя приблизительными.</w:t>
      </w:r>
    </w:p>
    <w:p>
      <w:r>
        <w:br w:type="page"/>
      </w:r>
    </w:p>
    <w:p>
      <w:pPr>
        <w:spacing w:before="160" w:after="80"/>
        <w:jc w:val="left"/>
      </w:pPr>
      <w:r>
        <w:rPr>
          <w:b/>
          <w:sz w:val="28"/>
        </w:rPr>
        <w:t>Раздел 3. Критерий «Инновационность»</w:t>
      </w:r>
    </w:p>
    <w:p>
      <w:pPr>
        <w:spacing w:before="160" w:after="60"/>
        <w:jc w:val="left"/>
      </w:pPr>
      <w:r>
        <w:rPr>
          <w:b/>
          <w:sz w:val="24"/>
        </w:rPr>
        <w:t>3.1. Научно-техническая новизна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Новизна заявляется не в отдельных компонентах — модели временных рядов и нейросетевые архитектуры описаны в литературе и общедоступны. Новизна заключается в методике их объединения применительно к российскому агропродовольственному рынку и в составе признакового пространства, включающего данные дистанционного зондирования как опережающий индикатор ценовой динамики.</w:t>
      </w:r>
    </w:p>
    <w:p>
      <w:pPr>
        <w:spacing w:after="40"/>
        <w:ind w:firstLine="567"/>
        <w:jc w:val="both"/>
      </w:pPr>
      <w:r>
        <w:rPr>
          <w:b w:val="0"/>
          <w:i w:val="0"/>
        </w:rPr>
        <w:t>Задача не решается стандартными средствами по трём причинам:</w:t>
      </w:r>
    </w:p>
    <w:p>
      <w:pPr>
        <w:spacing w:after="80"/>
        <w:ind w:left="454" w:hanging="454"/>
        <w:jc w:val="both"/>
      </w:pPr>
      <w:r>
        <w:rPr>
          <w:b/>
        </w:rPr>
        <w:t xml:space="preserve">1. </w:t>
      </w:r>
      <w:r>
        <w:t>Отсутствие единого источника данных. Ценовые ряды, спутниковые снимки, погодные данные и производственная статистика публикуются разными организациями в несовместимых форматах и с разной периодичностью. Сведение их в согласованный по времени и географии набор — самостоятельная инженерная задача.</w:t>
      </w:r>
    </w:p>
    <w:p>
      <w:pPr>
        <w:spacing w:after="80"/>
        <w:ind w:left="454" w:hanging="454"/>
        <w:jc w:val="both"/>
      </w:pPr>
      <w:r>
        <w:rPr>
          <w:b/>
        </w:rPr>
        <w:t xml:space="preserve">2. </w:t>
      </w:r>
      <w:r>
        <w:t>Специфика российского рынка. Модели, обученные на данных международных бирж, не учитывают экспортное регулирование, региональную структуру производства и особенности логистики до портов перевалки.</w:t>
      </w:r>
    </w:p>
    <w:p>
      <w:pPr>
        <w:spacing w:after="80"/>
        <w:ind w:left="454" w:hanging="454"/>
        <w:jc w:val="both"/>
      </w:pPr>
      <w:r>
        <w:rPr>
          <w:b/>
        </w:rPr>
        <w:t xml:space="preserve">3. </w:t>
      </w:r>
      <w:r>
        <w:t>Разреженность и запаздывание официальной статистики. Данные об урожайности публикуются с задержкой, что делает их непригодными для оперативного прогноза и требует построения опережающих индикаторов из альтернативных источников.</w:t>
      </w:r>
    </w:p>
    <w:p>
      <w:pPr>
        <w:spacing w:before="160" w:after="60"/>
        <w:jc w:val="left"/>
      </w:pPr>
      <w:r>
        <w:rPr>
          <w:b/>
          <w:sz w:val="24"/>
        </w:rPr>
        <w:t>3.2. Сопоставление с существующими решениями</w:t>
      </w:r>
    </w:p>
    <w:p>
      <w:pPr>
        <w:spacing w:after="120"/>
        <w:ind w:firstLine="567"/>
        <w:jc w:val="both"/>
      </w:pPr>
      <w:r>
        <w:rPr>
          <w:b w:val="0"/>
          <w:i/>
        </w:rPr>
        <w:t>Таблицу необходимо заполнить по результатам фактического анализа. Указывайте только то, что проверено и может быть подтверждено при уточняющем вопросе эксперта.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2564"/>
        <w:gridCol w:w="2564"/>
        <w:gridCol w:w="2564"/>
        <w:gridCol w:w="2564"/>
      </w:tblGrid>
      <w:tr>
        <w:tc>
          <w:tcPr>
            <w:tcW w:type="dxa" w:w="2564"/>
            <w:shd w:fill="E8E8E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Решение</w:t>
            </w:r>
          </w:p>
        </w:tc>
        <w:tc>
          <w:tcPr>
            <w:tcW w:type="dxa" w:w="2564"/>
            <w:shd w:fill="E8E8E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Тип</w:t>
            </w:r>
          </w:p>
        </w:tc>
        <w:tc>
          <w:tcPr>
            <w:tcW w:type="dxa" w:w="2564"/>
            <w:shd w:fill="E8E8E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Прогноз цен</w:t>
            </w:r>
          </w:p>
        </w:tc>
        <w:tc>
          <w:tcPr>
            <w:tcW w:type="dxa" w:w="2564"/>
            <w:shd w:fill="E8E8E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Отличие «АгроПорта»</w:t>
            </w:r>
          </w:p>
        </w:tc>
      </w:tr>
      <w:tr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Международные терминалы</w:t>
            </w:r>
          </w:p>
        </w:tc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Зарубежное</w:t>
            </w:r>
          </w:p>
        </w:tc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Есть</w:t>
            </w:r>
          </w:p>
        </w:tc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Недоступны в РФ, не учитывают специфику рынка</w:t>
            </w:r>
          </w:p>
        </w:tc>
      </w:tr>
      <w:tr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Отраслевые аналитические агентства</w:t>
            </w:r>
          </w:p>
        </w:tc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Российское</w:t>
            </w:r>
          </w:p>
        </w:tc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Экспертный</w:t>
            </w:r>
          </w:p>
        </w:tc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Оценка эксперта без численной модели и метрики ошибки</w:t>
            </w:r>
          </w:p>
        </w:tc>
      </w:tr>
      <w:tr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Системы спутникового мониторинга</w:t>
            </w:r>
          </w:p>
        </w:tc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Российское</w:t>
            </w:r>
          </w:p>
        </w:tc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Нет</w:t>
            </w:r>
          </w:p>
        </w:tc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Мониторинг посевов без связи с ценовым прогнозом</w:t>
            </w:r>
          </w:p>
        </w:tc>
      </w:tr>
      <w:tr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Биржевые площадки</w:t>
            </w:r>
          </w:p>
        </w:tc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Российское</w:t>
            </w:r>
          </w:p>
        </w:tc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Нет</w:t>
            </w:r>
          </w:p>
        </w:tc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Котировки без прогнозной модели</w:t>
            </w:r>
          </w:p>
        </w:tc>
      </w:tr>
      <w:tr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[ дополните по анализу ]</w:t>
            </w:r>
          </w:p>
        </w:tc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spacing w:after="160"/>
        <w:jc w:val="both"/>
      </w:pPr>
      <w:r>
        <w:rPr>
          <w:b w:val="0"/>
          <w:i w:val="0"/>
        </w:rPr>
      </w:r>
    </w:p>
    <w:p>
      <w:pPr>
        <w:spacing w:after="120"/>
        <w:ind w:firstLine="567"/>
        <w:jc w:val="both"/>
      </w:pPr>
      <w:r>
        <w:rPr>
          <w:b/>
          <w:i w:val="0"/>
        </w:rPr>
        <w:t>Ключевой тезис: существующие российские решения либо мониторят состояние посевов, либо публикуют котировки, либо дают экспертную оценку. Соединение спутниковых данных с численной прогнозной моделью цены, имеющей измеренную ошибку, — отличительная особенность проекта.</w:t>
      </w:r>
    </w:p>
    <w:p>
      <w:pPr>
        <w:spacing w:before="160" w:after="60"/>
        <w:jc w:val="left"/>
      </w:pPr>
      <w:r>
        <w:rPr>
          <w:b/>
          <w:sz w:val="24"/>
        </w:rPr>
        <w:t>3.3. Результаты интеллектуальной деятельности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До подачи заявки рекомендуется зарегистрировать программу для ЭВМ на ансамблевый прогнозный модуль и модуль обработки спутниковых данных. Свидетельство о регистрации — наиболее убедительное подтверждение наличия собственной разработки.</w:t>
      </w:r>
    </w:p>
    <w:p>
      <w:pPr>
        <w:spacing w:after="120"/>
        <w:ind w:firstLine="567"/>
        <w:jc w:val="both"/>
      </w:pPr>
      <w:r>
        <w:rPr>
          <w:b/>
          <w:i w:val="0"/>
        </w:rPr>
        <w:t>Текущий статус: [ подано / получено свидетельство № ... / планируется подача в ... ].</w:t>
      </w:r>
    </w:p>
    <w:p>
      <w:r>
        <w:br w:type="page"/>
      </w:r>
    </w:p>
    <w:p>
      <w:pPr>
        <w:spacing w:before="160" w:after="80"/>
        <w:jc w:val="left"/>
      </w:pPr>
      <w:r>
        <w:rPr>
          <w:b/>
          <w:sz w:val="28"/>
        </w:rPr>
        <w:t>Раздел 4. Критерий «Коммерциализация»</w:t>
      </w:r>
    </w:p>
    <w:p>
      <w:pPr>
        <w:spacing w:before="160" w:after="60"/>
        <w:jc w:val="left"/>
      </w:pPr>
      <w:r>
        <w:rPr>
          <w:b/>
          <w:sz w:val="24"/>
        </w:rPr>
        <w:t>4.1. Целевые сегменты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3419"/>
        <w:gridCol w:w="3419"/>
        <w:gridCol w:w="3419"/>
      </w:tblGrid>
      <w:tr>
        <w:tc>
          <w:tcPr>
            <w:tcW w:type="dxa" w:w="3419"/>
            <w:shd w:fill="E8E8E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Сегмент</w:t>
            </w:r>
          </w:p>
        </w:tc>
        <w:tc>
          <w:tcPr>
            <w:tcW w:type="dxa" w:w="3419"/>
            <w:shd w:fill="E8E8E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Решаемая задача</w:t>
            </w:r>
          </w:p>
        </w:tc>
        <w:tc>
          <w:tcPr>
            <w:tcW w:type="dxa" w:w="3419"/>
            <w:shd w:fill="E8E8E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Модель оплаты</w:t>
            </w:r>
          </w:p>
        </w:tc>
      </w:tr>
      <w:tr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Сельхозпроизводители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Выбор момента продажи урожая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Подписка</w:t>
            </w:r>
          </w:p>
        </w:tc>
      </w:tr>
      <w:tr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Трейдеры и экспортёры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Планирование закупок и контрактов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Подписка, расширенный тариф</w:t>
            </w:r>
          </w:p>
        </w:tc>
      </w:tr>
      <w:tr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Переработчики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Планирование себестоимости сырья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Подписка</w:t>
            </w:r>
          </w:p>
        </w:tc>
      </w:tr>
      <w:tr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Банки и страховые компании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Оценка рисков при кредитовании и страховании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Доступ по API</w:t>
            </w:r>
          </w:p>
        </w:tc>
      </w:tr>
      <w:tr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Отраслевые ассоциации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Аналитика по рынку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Корпоративный доступ</w:t>
            </w:r>
          </w:p>
        </w:tc>
      </w:tr>
    </w:tbl>
    <w:p>
      <w:pPr>
        <w:spacing w:before="160" w:after="60"/>
        <w:jc w:val="left"/>
      </w:pPr>
      <w:r>
        <w:rPr>
          <w:b/>
          <w:sz w:val="24"/>
        </w:rPr>
        <w:t>4.2. Модель монетизации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Подписка с уровнями доступа: базовый уровень с ограниченным набором культур и горизонтом прогноза, профессиональный с полным покрытием и картой рисков, корпоративный с доступом по API для встраивания в системы заказчика.</w:t>
      </w:r>
    </w:p>
    <w:p>
      <w:pPr>
        <w:spacing w:after="120"/>
        <w:ind w:firstLine="567"/>
        <w:jc w:val="both"/>
      </w:pPr>
      <w:r>
        <w:rPr>
          <w:b/>
          <w:i w:val="0"/>
        </w:rPr>
        <w:t>Стоимость уровней: [ укажите фактические тарифы ]. Если тарифы ещё не зафиксированы, укажите диапазон и обоснование.</w:t>
      </w:r>
    </w:p>
    <w:p>
      <w:pPr>
        <w:spacing w:before="160" w:after="60"/>
        <w:jc w:val="left"/>
      </w:pPr>
      <w:r>
        <w:rPr>
          <w:b/>
          <w:sz w:val="24"/>
        </w:rPr>
        <w:t>4.3. Объём рынка</w:t>
      </w:r>
    </w:p>
    <w:p>
      <w:pPr>
        <w:spacing w:after="120"/>
        <w:ind w:firstLine="567"/>
        <w:jc w:val="both"/>
      </w:pPr>
      <w:r>
        <w:rPr>
          <w:b/>
          <w:i w:val="0"/>
        </w:rPr>
        <w:t>Оценку рынка следует строить снизу вверх, от числа потенциальных плательщиков, а не от общего объёма агропромышленного комплекса. Оценка вида «рынок АПК составляет триллионы рублей» не принимается экспертизой как обоснование.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Рекомендуемая логика расчёта: количество хозяйств и трейдеров в охваченных регионах, для которых прогноз экономически значим → доля, готовая платить за аналитику → средний чек подписки → доступный объём рынка. Каждое допущение должно быть обосновано.</w:t>
      </w:r>
    </w:p>
    <w:p>
      <w:pPr>
        <w:spacing w:after="120"/>
        <w:ind w:firstLine="567"/>
        <w:jc w:val="both"/>
      </w:pPr>
      <w:r>
        <w:rPr>
          <w:b/>
          <w:i w:val="0"/>
        </w:rPr>
        <w:t>Расчёт: [ заполните по фактическим данным ].</w:t>
      </w:r>
    </w:p>
    <w:p>
      <w:pPr>
        <w:spacing w:before="160" w:after="60"/>
        <w:jc w:val="left"/>
      </w:pPr>
      <w:r>
        <w:rPr>
          <w:b/>
          <w:sz w:val="24"/>
        </w:rPr>
        <w:t>4.4. Подтверждение спроса</w:t>
      </w:r>
    </w:p>
    <w:p>
      <w:pPr>
        <w:spacing w:after="40"/>
        <w:ind w:firstLine="567"/>
        <w:jc w:val="both"/>
      </w:pPr>
      <w:r>
        <w:rPr>
          <w:b w:val="0"/>
          <w:i w:val="0"/>
        </w:rPr>
        <w:t>Это сильнейшая часть заявки, поскольку продукт уже работает. Приведите фактические данные:</w:t>
      </w:r>
    </w:p>
    <w:p>
      <w:pPr>
        <w:spacing w:after="60"/>
        <w:ind w:left="454" w:hanging="227"/>
        <w:jc w:val="both"/>
      </w:pPr>
      <w:r>
        <w:rPr>
          <w:sz w:val="22"/>
        </w:rPr>
        <w:t>— Число зарегистрированных пользователей платформы: [ ... ].</w:t>
      </w:r>
    </w:p>
    <w:p>
      <w:pPr>
        <w:spacing w:after="60"/>
        <w:ind w:left="454" w:hanging="227"/>
        <w:jc w:val="both"/>
      </w:pPr>
      <w:r>
        <w:rPr>
          <w:sz w:val="22"/>
        </w:rPr>
        <w:t>— Число активных пользователей за последний месяц: [ ... ].</w:t>
      </w:r>
    </w:p>
    <w:p>
      <w:pPr>
        <w:spacing w:after="60"/>
        <w:ind w:left="454" w:hanging="227"/>
        <w:jc w:val="both"/>
      </w:pPr>
      <w:r>
        <w:rPr>
          <w:sz w:val="22"/>
        </w:rPr>
        <w:t>— Наличие платящих пользователей и объём выручки: [ ... ].</w:t>
      </w:r>
    </w:p>
    <w:p>
      <w:pPr>
        <w:spacing w:after="60"/>
        <w:ind w:left="454" w:hanging="227"/>
        <w:jc w:val="both"/>
      </w:pPr>
      <w:r>
        <w:rPr>
          <w:sz w:val="22"/>
        </w:rPr>
        <w:t>— Письма о намерениях и соглашения с отраслевыми организациями: [ приложить ].</w:t>
      </w:r>
    </w:p>
    <w:p>
      <w:pPr>
        <w:spacing w:after="60"/>
        <w:ind w:left="454" w:hanging="227"/>
        <w:jc w:val="both"/>
      </w:pPr>
      <w:r>
        <w:rPr>
          <w:sz w:val="22"/>
        </w:rPr>
        <w:t>— Пилотные внедрения: [ ... ].</w:t>
      </w:r>
    </w:p>
    <w:p>
      <w:pPr>
        <w:spacing w:after="120"/>
        <w:ind w:firstLine="567"/>
        <w:jc w:val="both"/>
      </w:pPr>
      <w:r>
        <w:rPr>
          <w:b/>
          <w:i w:val="0"/>
        </w:rPr>
        <w:t>Даже небольшое число реальных пользователей у работающего продукта убедительнее, чем прогнозные модели роста без единого пользователя. Не завышайте показатели: при проверке расхождение обнаружится.</w:t>
      </w:r>
    </w:p>
    <w:p>
      <w:r>
        <w:br w:type="page"/>
      </w:r>
    </w:p>
    <w:p>
      <w:pPr>
        <w:spacing w:before="160" w:after="80"/>
        <w:jc w:val="left"/>
      </w:pPr>
      <w:r>
        <w:rPr>
          <w:b/>
          <w:sz w:val="28"/>
        </w:rPr>
        <w:t>Раздел 5. Критерий «Реализуемость»</w:t>
      </w:r>
    </w:p>
    <w:p>
      <w:pPr>
        <w:spacing w:before="160" w:after="60"/>
        <w:jc w:val="left"/>
      </w:pPr>
      <w:r>
        <w:rPr>
          <w:b/>
          <w:sz w:val="24"/>
        </w:rPr>
        <w:t>5.1. Текущее состояние разработки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Проект находится не на стадии замысла: платформа развёрнута в производственной среде и доступна пользователям. Реализованы прогнозный модуль, обработка спутниковых данных, карта рисков по регионам и веб-интерфейс.</w:t>
      </w:r>
    </w:p>
    <w:p>
      <w:pPr>
        <w:spacing w:after="120"/>
        <w:ind w:firstLine="567"/>
        <w:jc w:val="both"/>
      </w:pPr>
      <w:r>
        <w:rPr>
          <w:b/>
          <w:i w:val="0"/>
        </w:rPr>
        <w:t>Это отличает заявку от типового обращения со стадии идеи и существенно снижает риски по критерию реализуемости.</w:t>
      </w:r>
    </w:p>
    <w:p>
      <w:pPr>
        <w:spacing w:before="160" w:after="60"/>
        <w:jc w:val="left"/>
      </w:pPr>
      <w:r>
        <w:rPr>
          <w:b/>
          <w:sz w:val="24"/>
        </w:rPr>
        <w:t>5.2. Подтверждённый технологический задел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Команда располагает опытом вывода в эксплуатацию нескольких продуктов с применением машинного обучения: помимо «АгроПорта» это образовательная платформа с голосовым ассистентом, платформа автоматизации маркетинговых коммуникаций и ряд других решений. Совокупно реализовано [ укажите число ] продуктов.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Технологический стек: Python для моделей и обработки данных, PostgreSQL, контейнеризация и оркестрация для производственной среды.</w:t>
      </w:r>
    </w:p>
    <w:p>
      <w:pPr>
        <w:spacing w:before="160" w:after="60"/>
        <w:jc w:val="left"/>
      </w:pPr>
      <w:r>
        <w:rPr>
          <w:b/>
          <w:sz w:val="24"/>
        </w:rPr>
        <w:t>5.3. План работ на период реализации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3419"/>
        <w:gridCol w:w="3419"/>
        <w:gridCol w:w="3419"/>
      </w:tblGrid>
      <w:tr>
        <w:tc>
          <w:tcPr>
            <w:tcW w:type="dxa" w:w="3419"/>
            <w:shd w:fill="E8E8E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Этап</w:t>
            </w:r>
          </w:p>
        </w:tc>
        <w:tc>
          <w:tcPr>
            <w:tcW w:type="dxa" w:w="3419"/>
            <w:shd w:fill="E8E8E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Содержание</w:t>
            </w:r>
          </w:p>
        </w:tc>
        <w:tc>
          <w:tcPr>
            <w:tcW w:type="dxa" w:w="3419"/>
            <w:shd w:fill="E8E8E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Результат</w:t>
            </w:r>
          </w:p>
        </w:tc>
      </w:tr>
      <w:tr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1–2 кв.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Расширение покрытия культур и регионов, углубление признакового пространства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Снижение ошибки прогноза до [ ... ]%</w:t>
            </w:r>
          </w:p>
        </w:tc>
      </w:tr>
      <w:tr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2–3 кв.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Публичный программный интерфейс для корпоративных потребителей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Работающий API, первые интеграции</w:t>
            </w:r>
          </w:p>
        </w:tc>
      </w:tr>
      <w:tr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3–4 кв.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Модуль прогнозирования логистических тарифов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Расширение прогнозного контура</w:t>
            </w:r>
          </w:p>
        </w:tc>
      </w:tr>
      <w:tr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4 кв.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Промышленная эксплуатация, масштабирование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[ целевые показатели ]</w:t>
            </w:r>
          </w:p>
        </w:tc>
      </w:tr>
    </w:tbl>
    <w:p>
      <w:pPr>
        <w:spacing w:before="160" w:after="80"/>
        <w:jc w:val="left"/>
      </w:pPr>
      <w:r>
        <w:rPr>
          <w:b/>
          <w:sz w:val="28"/>
        </w:rPr>
        <w:t>Раздел 6. Критерий «Команда»</w:t>
      </w:r>
    </w:p>
    <w:p>
      <w:pPr>
        <w:spacing w:after="120"/>
        <w:ind w:firstLine="567"/>
        <w:jc w:val="both"/>
      </w:pPr>
      <w:r>
        <w:rPr>
          <w:b/>
          <w:i w:val="0"/>
        </w:rPr>
        <w:t>Требуется три-четыре человека с подтверждённой квалификацией и письменным согласием на участие. Слабое место большинства заявок — отсутствие специалиста по коммерциализации. Этот пробел следует закрыть до подачи.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3419"/>
        <w:gridCol w:w="3419"/>
        <w:gridCol w:w="3419"/>
      </w:tblGrid>
      <w:tr>
        <w:tc>
          <w:tcPr>
            <w:tcW w:type="dxa" w:w="3419"/>
            <w:shd w:fill="E8E8E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Роль</w:t>
            </w:r>
          </w:p>
        </w:tc>
        <w:tc>
          <w:tcPr>
            <w:tcW w:type="dxa" w:w="3419"/>
            <w:shd w:fill="E8E8E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Зона ответственности</w:t>
            </w:r>
          </w:p>
        </w:tc>
        <w:tc>
          <w:tcPr>
            <w:tcW w:type="dxa" w:w="3419"/>
            <w:shd w:fill="E8E8E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Что подтверждает квалификацию</w:t>
            </w:r>
          </w:p>
        </w:tc>
      </w:tr>
      <w:tr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Руководитель проекта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Общее управление, архитектура решения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Выведенные в эксплуатацию продукты, образование</w:t>
            </w:r>
          </w:p>
        </w:tc>
      </w:tr>
      <w:tr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Специалист по машинному обучению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Прогнозные модели, обработка данных ДЗЗ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Профильное образование, реализованные модели, публикации</w:t>
            </w:r>
          </w:p>
        </w:tc>
      </w:tr>
      <w:tr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Специалист по продукту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Развитие продукта, работа с пользователями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Опыт вывода продуктов на рынок</w:t>
            </w:r>
          </w:p>
        </w:tc>
      </w:tr>
      <w:tr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Специалист по продажам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Работа с корпоративными клиентами АПК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Опыт B2B-продаж, желательно отраслевой</w:t>
            </w:r>
          </w:p>
        </w:tc>
      </w:tr>
    </w:tbl>
    <w:p>
      <w:pPr>
        <w:spacing w:after="160"/>
        <w:jc w:val="both"/>
      </w:pPr>
      <w:r>
        <w:rPr>
          <w:b w:val="0"/>
          <w:i w:val="0"/>
        </w:rPr>
      </w:r>
    </w:p>
    <w:p>
      <w:pPr>
        <w:spacing w:after="120"/>
        <w:ind w:firstLine="567"/>
        <w:jc w:val="both"/>
      </w:pPr>
      <w:r>
        <w:rPr>
          <w:b/>
          <w:i w:val="0"/>
        </w:rPr>
        <w:t>По каждому участнику потребуется анкета с образованием, опытом и подтверждением компетенций. Указывайте только достоверные сведения: квалификация проверяется.</w:t>
      </w:r>
    </w:p>
    <w:p>
      <w:r>
        <w:br w:type="page"/>
      </w:r>
    </w:p>
    <w:p>
      <w:pPr>
        <w:spacing w:before="160" w:after="80"/>
        <w:jc w:val="left"/>
      </w:pPr>
      <w:r>
        <w:rPr>
          <w:b/>
          <w:sz w:val="28"/>
        </w:rPr>
        <w:t>Раздел 7. Подготовка к подаче</w:t>
      </w:r>
    </w:p>
    <w:p>
      <w:pPr>
        <w:spacing w:before="160" w:after="60"/>
        <w:jc w:val="left"/>
      </w:pPr>
      <w:r>
        <w:rPr>
          <w:b/>
          <w:sz w:val="24"/>
        </w:rPr>
        <w:t>7.1. Что сделать до подачи</w:t>
      </w:r>
    </w:p>
    <w:p>
      <w:pPr>
        <w:spacing w:after="80"/>
        <w:ind w:left="454" w:hanging="454"/>
        <w:jc w:val="both"/>
      </w:pPr>
      <w:r>
        <w:rPr>
          <w:b/>
        </w:rPr>
        <w:t xml:space="preserve">1. </w:t>
      </w:r>
      <w:r>
        <w:t>Измерить и зафиксировать метрики качества моделей. Это главный дефицит большинства заявок: продукт работает, но численных характеристик точности нет. Без них критерий инновационности не защитить.</w:t>
      </w:r>
    </w:p>
    <w:p>
      <w:pPr>
        <w:spacing w:after="80"/>
        <w:ind w:left="454" w:hanging="454"/>
        <w:jc w:val="both"/>
      </w:pPr>
      <w:r>
        <w:rPr>
          <w:b/>
        </w:rPr>
        <w:t xml:space="preserve">2. </w:t>
      </w:r>
      <w:r>
        <w:t>Подать заявку на регистрацию программы для ЭВМ. Свидетельство — надёжное подтверждение собственной разработки.</w:t>
      </w:r>
    </w:p>
    <w:p>
      <w:pPr>
        <w:spacing w:after="80"/>
        <w:ind w:left="454" w:hanging="454"/>
        <w:jc w:val="both"/>
      </w:pPr>
      <w:r>
        <w:rPr>
          <w:b/>
        </w:rPr>
        <w:t xml:space="preserve">3. </w:t>
      </w:r>
      <w:r>
        <w:t>Провести анализ существующих решений и заполнить сравнительную таблицу проверенными данными.</w:t>
      </w:r>
    </w:p>
    <w:p>
      <w:pPr>
        <w:spacing w:after="80"/>
        <w:ind w:left="454" w:hanging="454"/>
        <w:jc w:val="both"/>
      </w:pPr>
      <w:r>
        <w:rPr>
          <w:b/>
        </w:rPr>
        <w:t xml:space="preserve">4. </w:t>
      </w:r>
      <w:r>
        <w:t>Собрать фактическую статистику использования платформы: регистрации, активность, платящие пользователи.</w:t>
      </w:r>
    </w:p>
    <w:p>
      <w:pPr>
        <w:spacing w:after="80"/>
        <w:ind w:left="454" w:hanging="454"/>
        <w:jc w:val="both"/>
      </w:pPr>
      <w:r>
        <w:rPr>
          <w:b/>
        </w:rPr>
        <w:t xml:space="preserve">5. </w:t>
      </w:r>
      <w:r>
        <w:t>Получить письма о намерениях от потенциальных корпоративных потребителей.</w:t>
      </w:r>
    </w:p>
    <w:p>
      <w:pPr>
        <w:spacing w:after="80"/>
        <w:ind w:left="454" w:hanging="454"/>
        <w:jc w:val="both"/>
      </w:pPr>
      <w:r>
        <w:rPr>
          <w:b/>
        </w:rPr>
        <w:t xml:space="preserve">6. </w:t>
      </w:r>
      <w:r>
        <w:t>Закрыть позицию специалиста по продажам, если она не закрыта.</w:t>
      </w:r>
    </w:p>
    <w:p>
      <w:pPr>
        <w:spacing w:after="80"/>
        <w:ind w:left="454" w:hanging="454"/>
        <w:jc w:val="both"/>
      </w:pPr>
      <w:r>
        <w:rPr>
          <w:b/>
        </w:rPr>
        <w:t xml:space="preserve">7. </w:t>
      </w:r>
      <w:r>
        <w:t>Проверить соответствие юридического лица формальным требованиям: профильные коды деятельности, устав, отсутствие ограничений по составу учредителей.</w:t>
      </w:r>
    </w:p>
    <w:p>
      <w:pPr>
        <w:spacing w:before="160" w:after="60"/>
        <w:jc w:val="left"/>
      </w:pPr>
      <w:r>
        <w:rPr>
          <w:b/>
          <w:sz w:val="24"/>
        </w:rPr>
        <w:t>7.2. Вопросы, которые задаст экспертиза</w:t>
      </w:r>
    </w:p>
    <w:p>
      <w:pPr>
        <w:spacing w:after="40"/>
        <w:ind w:firstLine="567"/>
        <w:jc w:val="both"/>
      </w:pPr>
      <w:r>
        <w:rPr>
          <w:b w:val="0"/>
          <w:i w:val="0"/>
        </w:rPr>
        <w:t>Ответы следует подготовить заранее в письменном виде.</w:t>
      </w:r>
    </w:p>
    <w:p>
      <w:pPr>
        <w:spacing w:after="60"/>
        <w:ind w:left="454" w:hanging="227"/>
        <w:jc w:val="both"/>
      </w:pPr>
      <w:r>
        <w:rPr>
          <w:sz w:val="22"/>
        </w:rPr>
        <w:t>— Что конкретно разработано вашей командой, а что взято из открытых источников?</w:t>
      </w:r>
    </w:p>
    <w:p>
      <w:pPr>
        <w:spacing w:after="60"/>
        <w:ind w:left="454" w:hanging="227"/>
        <w:jc w:val="both"/>
      </w:pPr>
      <w:r>
        <w:rPr>
          <w:sz w:val="22"/>
        </w:rPr>
        <w:t>— На каких данных измерена точность модели и за какой период?</w:t>
      </w:r>
    </w:p>
    <w:p>
      <w:pPr>
        <w:spacing w:after="60"/>
        <w:ind w:left="454" w:hanging="227"/>
        <w:jc w:val="both"/>
      </w:pPr>
      <w:r>
        <w:rPr>
          <w:sz w:val="22"/>
        </w:rPr>
        <w:t>— С чем сравнивалась точность и почему выбрана именно эта база сравнения?</w:t>
      </w:r>
    </w:p>
    <w:p>
      <w:pPr>
        <w:spacing w:after="60"/>
        <w:ind w:left="454" w:hanging="227"/>
        <w:jc w:val="both"/>
      </w:pPr>
      <w:r>
        <w:rPr>
          <w:sz w:val="22"/>
        </w:rPr>
        <w:t>— Почему задача не решается существующими на рынке средствами?</w:t>
      </w:r>
    </w:p>
    <w:p>
      <w:pPr>
        <w:spacing w:after="60"/>
        <w:ind w:left="454" w:hanging="227"/>
        <w:jc w:val="both"/>
      </w:pPr>
      <w:r>
        <w:rPr>
          <w:sz w:val="22"/>
        </w:rPr>
        <w:t>— Кто платит за продукт сегодня и сколько?</w:t>
      </w:r>
    </w:p>
    <w:p>
      <w:pPr>
        <w:spacing w:after="60"/>
        <w:ind w:left="454" w:hanging="227"/>
        <w:jc w:val="both"/>
      </w:pPr>
      <w:r>
        <w:rPr>
          <w:sz w:val="22"/>
        </w:rPr>
        <w:t>— Что произойдёт с проектом, если статус не будет получен?</w:t>
      </w:r>
    </w:p>
    <w:p>
      <w:pPr>
        <w:spacing w:after="120"/>
        <w:ind w:firstLine="567"/>
        <w:jc w:val="both"/>
      </w:pPr>
      <w:r>
        <w:rPr>
          <w:b/>
          <w:i w:val="0"/>
        </w:rPr>
        <w:t>Последний вопрос задаётся часто. Корректный ответ: проект продолжит развитие, поскольку он работает и имеет пользователей, но темп расширения покрытия и найма будет ниже. Ответ в духе «без поддержки проект остановится» воспринимается как признак нежизнеспособности.</w:t>
      </w:r>
    </w:p>
    <w:p>
      <w:pPr>
        <w:spacing w:before="160" w:after="60"/>
        <w:jc w:val="left"/>
      </w:pPr>
      <w:r>
        <w:rPr>
          <w:b/>
          <w:sz w:val="24"/>
        </w:rPr>
        <w:t>7.3. Главный риск заявки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Наиболее вероятное основание для отказа — отсутствие измеренных метрик. Продукт работает, интерфейс развит, покрытие регионов заявлено, но на вопрос «какова ошибка прогноза и с чем вы её сравнивали» ответа нет.</w:t>
      </w:r>
    </w:p>
    <w:p>
      <w:pPr>
        <w:spacing w:after="120"/>
        <w:ind w:firstLine="567"/>
        <w:jc w:val="both"/>
      </w:pPr>
      <w:r>
        <w:rPr>
          <w:b/>
          <w:i w:val="0"/>
        </w:rPr>
        <w:t>Экспертиза оценивает не полезность продукта, а наличие научно-технической новизны. Численно подтверждённая точность модели — то, что переводит разговор из плоскости «удобный сервис» в плоскость «инновационная разработка».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Если на момент подготовки заявки метрики не измерены, целесообразно отложить подачу на время, необходимое для их получения. Повторная подача после отказа сложнее первичной.</w:t>
      </w:r>
    </w:p>
    <w:p>
      <w:pPr>
        <w:spacing w:after="200"/>
        <w:jc w:val="both"/>
      </w:pPr>
      <w:r>
        <w:rPr>
          <w:b w:val="0"/>
          <w:i w:val="0"/>
        </w:rPr>
      </w:r>
    </w:p>
    <w:p>
      <w:pPr>
        <w:spacing w:before="160" w:after="80"/>
        <w:jc w:val="left"/>
      </w:pPr>
      <w:r>
        <w:rPr>
          <w:b/>
          <w:sz w:val="24"/>
        </w:rPr>
        <w:t>Резюме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Проект имеет существенное преимущество перед типовой заявкой: работающий продукт, реальные данные и пользователи. Это закрывает критерий реализуемости и в значительной степени критерий коммерциализации.</w:t>
      </w:r>
    </w:p>
    <w:p>
      <w:pPr>
        <w:spacing w:after="120"/>
        <w:ind w:firstLine="567"/>
        <w:jc w:val="both"/>
      </w:pPr>
      <w:r>
        <w:rPr>
          <w:b/>
          <w:i w:val="0"/>
        </w:rPr>
        <w:t>Уязвимое место — критерий инновационности, который требует численного подтверждения качества моделей. Заполнение помеченных в документе пропусков фактическими измеренными данными превращает заготовку в конкурентоспособную заявку.</w:t>
      </w:r>
    </w:p>
    <w:p>
      <w:pPr>
        <w:spacing w:after="240"/>
        <w:jc w:val="both"/>
      </w:pPr>
      <w:r>
        <w:rPr>
          <w:b w:val="0"/>
          <w:i w:val="0"/>
        </w:rPr>
      </w:r>
    </w:p>
    <w:p>
      <w:pPr>
        <w:spacing w:after="120"/>
        <w:jc w:val="both"/>
      </w:pPr>
      <w:r>
        <w:rPr>
          <w:b w:val="0"/>
          <w:i/>
          <w:sz w:val="18"/>
        </w:rPr>
        <w:t>Документ подготовлен как рабочая заготовка на основании открытой информации о проекте «АгроПорт». Не является юридическим документом. Перед подачей рекомендуется проверка специалистом по сопровождению заявок в Фонд и профильным патентным поверенным.</w:t>
      </w:r>
    </w:p>
    <w:sectPr w:rsidR="00FC693F" w:rsidRPr="0006063C" w:rsidSect="00034616"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