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right"/>
      </w:pPr>
      <w:r>
        <w:rPr>
          <w:sz w:val="22"/>
        </w:rPr>
        <w:t>В Самарский районный суд г. Самары</w:t>
      </w:r>
    </w:p>
    <w:p>
      <w:pPr>
        <w:spacing w:after="20"/>
        <w:jc w:val="right"/>
      </w:pPr>
      <w:r>
        <w:rPr>
          <w:sz w:val="22"/>
        </w:rPr>
        <w:t>443041, г. Самара, ул. Рабочая, д. 21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Истец: ООО «Декоратор»</w:t>
      </w:r>
    </w:p>
    <w:p>
      <w:pPr>
        <w:spacing w:after="20"/>
        <w:jc w:val="right"/>
      </w:pPr>
      <w:r>
        <w:rPr>
          <w:sz w:val="22"/>
        </w:rPr>
        <w:t>Ответчик 1: ООО «СК Авангард»</w:t>
      </w:r>
    </w:p>
    <w:p>
      <w:pPr>
        <w:spacing w:after="20"/>
        <w:jc w:val="right"/>
      </w:pPr>
      <w:r>
        <w:rPr>
          <w:sz w:val="22"/>
        </w:rPr>
        <w:t>Ответчик 2: Тюрин А.В.</w:t>
      </w:r>
    </w:p>
    <w:p>
      <w:pPr>
        <w:spacing w:after="20"/>
        <w:jc w:val="right"/>
      </w:pPr>
      <w:r>
        <w:rPr>
          <w:sz w:val="22"/>
        </w:rPr>
      </w:r>
    </w:p>
    <w:p>
      <w:pPr>
        <w:spacing w:after="20"/>
        <w:jc w:val="right"/>
      </w:pPr>
      <w:r>
        <w:rPr>
          <w:sz w:val="22"/>
        </w:rPr>
        <w:t>Дело № _______________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  <w:jc w:val="center"/>
      </w:pPr>
      <w:r>
        <w:rPr>
          <w:b/>
          <w:sz w:val="26"/>
        </w:rPr>
        <w:t>КОНТРРАСЧЁТ</w:t>
      </w:r>
    </w:p>
    <w:p>
      <w:pPr>
        <w:spacing w:before="0" w:after="80"/>
        <w:jc w:val="center"/>
      </w:pPr>
      <w:r>
        <w:rPr>
          <w:b/>
          <w:sz w:val="24"/>
        </w:rPr>
        <w:t>процентов и неустойки по договору поставки № 1349 от 14.07.2022</w:t>
      </w:r>
    </w:p>
    <w:p>
      <w:pPr>
        <w:spacing w:before="0" w:after="80"/>
        <w:jc w:val="center"/>
      </w:pPr>
      <w:r>
        <w:rPr>
          <w:b w:val="0"/>
          <w:sz w:val="22"/>
        </w:rPr>
        <w:t>(приложение к возражениям на исковое заявление)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240" w:after="120"/>
      </w:pPr>
      <w:r>
        <w:rPr>
          <w:b/>
          <w:sz w:val="24"/>
        </w:rPr>
        <w:t>1. Требования Истца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Основание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  <w:t>Ставка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Сумма, руб.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Основной долг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договор поставки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86 267,82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Проценты за коммерческий кредит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п. 4.4 договора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0,5% в день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112 151,13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Неустойка за просрочку оплаты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п. 7.2 договора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0,1% в день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22 430,23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ИТОГО санкций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134 581,36</w:t>
            </w:r>
          </w:p>
        </w:tc>
      </w:tr>
    </w:tbl>
    <w:p>
      <w:pPr>
        <w:spacing w:before="240" w:after="120"/>
      </w:pPr>
      <w:r>
        <w:rPr>
          <w:b/>
          <w:sz w:val="24"/>
        </w:rPr>
        <w:t>2. Расшифровка расчёта Истца</w:t>
      </w:r>
    </w:p>
    <w:p>
      <w:pPr>
        <w:spacing w:after="80"/>
        <w:ind w:firstLine="709"/>
        <w:jc w:val="both"/>
      </w:pPr>
      <w:r>
        <w:rPr>
          <w:b w:val="0"/>
        </w:rPr>
        <w:t>Обратным счётом из заявленных сумм следует, что Истец произвёл начисление за 260 дней на сумму остатка 86 267 руб. 82 коп.: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0"/>
              </w:rPr>
              <w:t>Расчёт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Результат, руб.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Проценты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0,5% × 260 дней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112 148,17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Неустойка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0,1% × 260 дней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22 429,63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Отношение суммы процентов к сумме неустойки составляет ровно 5,0, что соответствует соотношению ставок 0,5% и 0,1%.</w:t>
      </w:r>
    </w:p>
    <w:p>
      <w:pPr>
        <w:spacing w:after="80"/>
        <w:ind w:firstLine="709"/>
        <w:jc w:val="both"/>
      </w:pPr>
      <w:r>
        <w:rPr>
          <w:b/>
        </w:rPr>
        <w:t>Из изложенного следует принципиальный вывод: проценты по п. 4.4 и неустойка по п. 7.2 начислены Истцом на одну и ту же сумму задолженности, за один и тот же период и за одно и то же нарушение — просрочку оплаты. Различие состоит исключительно в наименовании и величине ставки.</w:t>
      </w:r>
    </w:p>
    <w:p>
      <w:pPr>
        <w:spacing w:after="80"/>
        <w:ind w:firstLine="709"/>
        <w:jc w:val="both"/>
      </w:pPr>
      <w:r>
        <w:rPr>
          <w:b w:val="0"/>
        </w:rPr>
        <w:t>Это подтверждает довод Ответчиков о том, что так называемая «плата за пользование коммерческим кредитом» в действительности является дополнительной мерой ответственности за просрочку, а её взыскание наряду с неустойкой представляет собой двойную ответственность за одно нарушение.</w:t>
      </w:r>
    </w:p>
    <w:p>
      <w:pPr>
        <w:spacing w:after="80"/>
        <w:ind w:firstLine="709"/>
        <w:jc w:val="both"/>
      </w:pPr>
      <w:r>
        <w:rPr>
          <w:b/>
        </w:rPr>
        <w:t>Дополнительно отмечаем: Истец в тексте иска указывает период просрочки с 25.09.2023 по 13.05.2026 (1 057 дней), однако фактически произвёл начисление за 260 дней. Тем самым Истец сам признаёт, что заявленная сумма долга находилась в просрочке значительно меньший срок, чем период, указанный в обоснование требований.</w:t>
      </w:r>
    </w:p>
    <w:p>
      <w:pPr>
        <w:spacing w:before="240" w:after="120"/>
      </w:pPr>
      <w:r>
        <w:rPr>
          <w:b/>
          <w:sz w:val="24"/>
        </w:rPr>
        <w:t>3. Контррасчёт по ключевой ставке Банка России</w:t>
      </w:r>
    </w:p>
    <w:p>
      <w:pPr>
        <w:spacing w:after="80"/>
        <w:ind w:firstLine="709"/>
        <w:jc w:val="both"/>
      </w:pPr>
      <w:r>
        <w:rPr>
          <w:b w:val="0"/>
        </w:rPr>
        <w:t>Полагаем разумной и соразмерной последствиям нарушения компенсацию, исчисленную по правилам ст. 395 ГК РФ исходя из ключевой ставки Банка России за фактический период просрочки 260 дней: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Ключевая ставка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20"/>
              </w:rPr>
              <w:t>Расчёт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Сумма, руб.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16% годовых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16% × 260 / 365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9 830,20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18% годовых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18% × 260 / 365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11 058,98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19% годовых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19% × 260 / 365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11 673,37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21% годовых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86 267,82 × 21% × 260 / 365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12 902,14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Точный размер подлежит определению с применением ключевых ставок, действовавших в соответствующие периоды. Ответчики просят принять за основу расчёт по ставке 18% годовых — 11 058 руб. 98 коп.</w:t>
      </w:r>
    </w:p>
    <w:p>
      <w:pPr>
        <w:spacing w:before="240" w:after="120"/>
      </w:pPr>
      <w:r>
        <w:rPr>
          <w:b/>
          <w:sz w:val="24"/>
        </w:rPr>
        <w:t>4. Сопоставление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969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Сумма, руб.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Соотношение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Основной долг (погашен)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86 267,82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Санкции, заявленные Истцом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134 581,36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156% от долга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Компенсация по ключевой ставке 18%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11 058,98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12,8% от долга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/>
                <w:sz w:val="20"/>
              </w:rPr>
              <w:t>Превышение требований над ставкой ЦБ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в 12,2 раза</w:t>
            </w:r>
          </w:p>
        </w:tc>
      </w:tr>
    </w:tbl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Ставка 0,5% в день соответствует 182,5% годовых, ставка 0,1% в день — 36,5% годовых, в совокупности 219% годовых. Указанные величины многократно превышают ключевую ставку Банка России и не отвечают компенсационной природе гражданско-правовой ответственности.</w:t>
      </w:r>
    </w:p>
    <w:p>
      <w:pPr>
        <w:spacing w:before="240" w:after="120"/>
      </w:pPr>
      <w:r>
        <w:rPr>
          <w:b/>
          <w:sz w:val="24"/>
        </w:rPr>
        <w:t>5. Замечания к расчётам Истца (Приложения № 1 и № 2 к иску)</w:t>
      </w:r>
    </w:p>
    <w:p>
      <w:pPr>
        <w:pStyle w:val="ListBullet"/>
        <w:spacing w:after="60"/>
      </w:pPr>
      <w:r>
        <w:t>Истец не раскрыл базу начисления по каждой партии товара: не указано, по каким универсальным передаточным документам, в каких суммах и с каких дат образовалась просрочка.</w:t>
      </w:r>
    </w:p>
    <w:p>
      <w:pPr>
        <w:pStyle w:val="ListBullet"/>
        <w:spacing w:after="60"/>
      </w:pPr>
      <w:r>
        <w:t>Не отражён порядок зачёта поступивших платежей на общую сумму 1 624 425 руб. 90 коп. и их влияние на размер остатка в каждом расчётном периоде.</w:t>
      </w:r>
    </w:p>
    <w:p>
      <w:pPr>
        <w:pStyle w:val="ListBullet"/>
        <w:spacing w:after="60"/>
      </w:pPr>
      <w:r>
        <w:t>В просительной части иска (пункты 2 и 3) заявлено начисление процентов и неустойки на будущее время «от стоимости поставленного товара». Начисление на полную стоимость отгрузки (1 710 693 руб. 72 коп.), а не на фактический остаток задолженности, привело бы к начислению 8 553 руб. 47 коп. в день и является неправомерным.</w:t>
      </w:r>
    </w:p>
    <w:p>
      <w:pPr>
        <w:pStyle w:val="ListBullet"/>
        <w:spacing w:after="60"/>
      </w:pPr>
      <w:r>
        <w:t>В связи с погашением основного долга основания для начисления процентов и неустойки на будущее время отсутствуют.</w:t>
      </w:r>
    </w:p>
    <w:p>
      <w:pPr>
        <w:spacing w:before="240" w:after="120"/>
      </w:pPr>
      <w:r>
        <w:rPr>
          <w:b/>
          <w:sz w:val="24"/>
        </w:rPr>
        <w:t>6. Выводы</w:t>
      </w:r>
    </w:p>
    <w:p>
      <w:pPr>
        <w:pStyle w:val="ListNumber"/>
        <w:spacing w:after="60"/>
      </w:pPr>
      <w:r>
        <w:t>Проценты и неустойка начислены на одну сумму за один период за одно нарушение, что свидетельствует о двойной ответственности.</w:t>
      </w:r>
    </w:p>
    <w:p>
      <w:pPr>
        <w:pStyle w:val="ListNumber"/>
        <w:spacing w:after="60"/>
      </w:pPr>
      <w:r>
        <w:t>Фактический период просрочки по расчёту самого Истца составляет 260 дней, а не 1 057 дней.</w:t>
      </w:r>
    </w:p>
    <w:p>
      <w:pPr>
        <w:pStyle w:val="ListNumber"/>
        <w:spacing w:after="60"/>
      </w:pPr>
      <w:r>
        <w:t>Заявленные санкции превышают компенсацию по ключевой ставке Банка России в 12,2 раза и превышают сумму основного долга в 1,56 раза.</w:t>
      </w:r>
    </w:p>
    <w:p>
      <w:pPr>
        <w:pStyle w:val="ListNumber"/>
        <w:spacing w:after="60"/>
      </w:pPr>
      <w:r>
        <w:t>Соразмерной последствиям нарушения является сумма 11 058 руб. 98 коп.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after="80"/>
        <w:ind w:firstLine="709"/>
        <w:jc w:val="both"/>
      </w:pPr>
      <w:r>
        <w:rPr>
          <w:b/>
        </w:rPr>
        <w:t>На основании изложенного просим суд снизить размер подлежащих взысканию процентов и неустойки на основании ст. 333 ГК РФ до 11 058 руб. 98 коп.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«___» __________ 202__ г.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Директор ООО «СК Авангард»  ____________________ / ______________ /</w:t>
      </w:r>
    </w:p>
    <w:p>
      <w:pPr>
        <w:spacing w:before="0" w:after="80"/>
      </w:pPr>
      <w:r>
        <w:rPr>
          <w:b w:val="0"/>
          <w:sz w:val="24"/>
        </w:rPr>
      </w:r>
    </w:p>
    <w:p>
      <w:pPr>
        <w:spacing w:before="0" w:after="80"/>
      </w:pPr>
      <w:r>
        <w:rPr>
          <w:b w:val="0"/>
          <w:sz w:val="24"/>
        </w:rPr>
        <w:t>Тюрин А.В.  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