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Аналитическая записка</w:t>
      </w:r>
    </w:p>
    <w:p>
      <w:r>
        <w:rPr>
          <w:b/>
        </w:rPr>
        <w:t>Получатели грантов и субсидий 2024–2026: сегменты, тенденции, коммерческие предложения МАТ-Лабс</w:t>
      </w:r>
    </w:p>
    <w:p>
      <w:r>
        <w:rPr>
          <w:b w:val="0"/>
        </w:rPr>
        <w:t>ООО «МАТ-Лабс», октябрь 2026. Для внутреннего использования.</w:t>
      </w:r>
    </w:p>
    <w:p>
      <w:pPr>
        <w:pStyle w:val="Heading1"/>
      </w:pPr>
      <w:r>
        <w:t>1. Главное</w:t>
      </w:r>
    </w:p>
    <w:p>
      <w:pPr>
        <w:pStyle w:val="ListBullet"/>
      </w:pPr>
      <w:r>
        <w:t>Изучено 18 219 юрлиц, получивших гранты и субсидии деньгами в 2024–2026 годах. Всего им выдано 189,4 млрд ₽.</w:t>
      </w:r>
    </w:p>
    <w:p>
      <w:pPr>
        <w:pStyle w:val="ListBullet"/>
      </w:pPr>
      <w:r>
        <w:t>Это три разных рынка. АПК — 7 632 компании и 120,6 млрд ₽: крупные, устойчивые, получают поддержку каждый год. Технологии и промышленность — 3 231 компания и 35,5 млрд ₽: молодые, небольшие, получают разовые крупные гранты. Прочие МСП — 7 356 компаний и 33,3 млрд ₽: мелкие разовые субсидии.</w:t>
      </w:r>
    </w:p>
    <w:p>
      <w:pPr>
        <w:pStyle w:val="ListBullet"/>
      </w:pPr>
      <w:r>
        <w:t>Технологии: после пика 2024 года объём поддержки падает. За январь–сентябрь: 9,9 млрд ₽ в 2024, 7,7 млрд в 2025, 3,0 млрд в 2026. Минпромторг и Москва резко сократили выдачи, а Фонд содействия инновациям, наоборот, нарастил их до 2,0 млрд ₽ — больше, чем за тот же период 2024 года.</w:t>
      </w:r>
    </w:p>
    <w:p>
      <w:pPr>
        <w:pStyle w:val="ListBullet"/>
      </w:pPr>
      <w:r>
        <w:t>АПК стабилен: около 34 млрд ₽ за девять месяцев в 2024 и 2025 годах, 28,4 млрд в 2026. 41% хозяйств получали поддержку все три года — на них приходится 74% денег.</w:t>
      </w:r>
    </w:p>
    <w:p>
      <w:pPr>
        <w:pStyle w:val="ListBullet"/>
      </w:pPr>
      <w:r>
        <w:t>Первыми стоит обращаться к 4 237 компаниям «1-й волны»: у них свежие выплаты и подходящий масштаб. Из них 2 684 — АПК, 815 — технологии, 738 — прочие МСП.</w:t>
      </w:r>
    </w:p>
    <w:p>
      <w:pPr>
        <w:pStyle w:val="ListBullet"/>
      </w:pPr>
      <w:r>
        <w:t>Самые денежные направления для МАТ-Лабс: (1) цифровые решения для получателей грантов Фонда содействия инновациям, (2) автоматизация продаж и документооборота у промышленных производителей, (3) цифровой учёт и отчётность по субсидиям у крупных хозяйств АПК.</w:t>
      </w:r>
    </w:p>
    <w:p>
      <w:r/>
    </w:p>
    <w:p>
      <w:pPr>
        <w:pStyle w:val="Heading1"/>
      </w:pPr>
      <w:r>
        <w:t>2. Данные и метод</w:t>
      </w:r>
    </w:p>
    <w:p>
      <w:pPr>
        <w:pStyle w:val="ListBullet"/>
      </w:pPr>
      <w:r>
        <w:t>Основа — присланный файл (реестр ФНС «Получатели поддержки МСП», выгрузка от 15.10.2026). Только гранты и субсидии деньгами за 2024–2026 годы. ИП не включены.</w:t>
      </w:r>
    </w:p>
    <w:p>
      <w:pPr>
        <w:pStyle w:val="ListBullet"/>
      </w:pPr>
      <w:r>
        <w:t>Добавлено: все выплаты этим компаниям за 2021–2026 годы (для оценки динамики) и сведения из реестра МСП ФНС от 10.10.2026 — отрасль по основному виду деятельности, численность, год включения в реестр.</w:t>
      </w:r>
    </w:p>
    <w:p>
      <w:pPr>
        <w:pStyle w:val="ListBullet"/>
      </w:pPr>
      <w:r>
        <w:t>Исключены две записи с явной ошибкой в реестре: 6,4 и 5,7 млрд ₽ у хозяйств с 13 и 34 сотрудниками. В АПК перенесены 26 сельхозпредприятий, ранее учтённых в «Технологиях».</w:t>
      </w:r>
    </w:p>
    <w:p>
      <w:pPr>
        <w:pStyle w:val="ListBullet"/>
      </w:pPr>
      <w:r>
        <w:t>Ограничения: выборка составлена по получателям 2024–2026 годов, поэтому значения 2021–2023 годов занижены и показаны только для справки. Численность известна у 78% компаний, отрасль — у 95%. Данных о выручке нет. 2026 год неполный: последние выплаты в реестре — конец сентября.</w:t>
      </w:r>
    </w:p>
    <w:p>
      <w:pPr>
        <w:pStyle w:val="Heading1"/>
      </w:pPr>
      <w:r>
        <w:t>3. Технологии и промышленность</w:t>
      </w:r>
    </w:p>
    <w:p>
      <w:pPr>
        <w:pStyle w:val="Heading2"/>
      </w:pPr>
      <w:r>
        <w:t>3.1. Портрет</w:t>
      </w:r>
    </w:p>
    <w:p>
      <w:pPr>
        <w:pStyle w:val="ListBullet"/>
      </w:pPr>
      <w:r>
        <w:t>3 231 компания, 35,5 млрд ₽, медиана — 4,0 млн ₽ на компанию.</w:t>
      </w:r>
    </w:p>
    <w:p>
      <w:pPr>
        <w:pStyle w:val="ListBullet"/>
      </w:pPr>
      <w:r>
        <w:t>По размеру: 72% — микро, 24% — малые, 5% — средние. Медиана численности — 7 человек. 42% компаний включены в реестр МСП с 2022 года или позже, то есть это молодой бизнес.</w:t>
      </w:r>
    </w:p>
    <w:p>
      <w:pPr>
        <w:pStyle w:val="ListBullet"/>
      </w:pPr>
      <w:r>
        <w:t>Сильная концентрация: на Москву приходится 1 554 компании и 46% денег, на Санкт-Петербург — 408 компаний и 3,8 млрд ₽. Дальше идут Новосибирская и Московская области, Татарстан.</w:t>
      </w:r>
    </w:p>
    <w:p>
      <w:pPr>
        <w:pStyle w:val="ListBullet"/>
      </w:pPr>
      <w:r>
        <w:t>Поддержка разовая: 56% компаний до 2024 года не получали ничего, а все три года подряд — только 3%.</w:t>
      </w:r>
    </w:p>
    <w:p>
      <w:r/>
    </w:p>
    <w:p>
      <w:pPr>
        <w:pStyle w:val="Heading2"/>
      </w:pPr>
      <w:r>
        <w:t>3.2. Тенденции</w:t>
      </w:r>
    </w:p>
    <w:p>
      <w:r/>
    </w:p>
    <w:p>
      <w:r/>
    </w:p>
    <w:p>
      <w:pPr>
        <w:pStyle w:val="ListBullet"/>
      </w:pPr>
      <w:r>
        <w:t>Пик 2024 года обеспечили Минпромторг (5,3 млрд ₽ за девять месяцев) и Департамент предпринимательства и инновационного развития Москвы (1,8 млрд). В 2026 году их выдачи упали до 0,6 и 0,2 млрд ₽.</w:t>
      </w:r>
    </w:p>
    <w:p>
      <w:pPr>
        <w:pStyle w:val="ListBullet"/>
      </w:pPr>
      <w:r>
        <w:t>Фонд «Сколково» в реестре по этим компаниям в 2026 году не выдавал ничего (в 2024 году — 0,6 млрд ₽).</w:t>
      </w:r>
    </w:p>
    <w:p>
      <w:pPr>
        <w:pStyle w:val="ListBullet"/>
      </w:pPr>
      <w:r>
        <w:t>Фонд содействия инновациям — единственный растущий источник: 2,0 млрд ₽ и 192 компании за девять месяцев 2026 года. Типовые суммы — 4–5 млн ₽ («Старт», «Студенческий стартап»), 10–20 млн («Развитие», «Коммерциализация») и до 30 млн ₽.</w:t>
      </w:r>
    </w:p>
    <w:p>
      <w:pPr>
        <w:pStyle w:val="ListBullet"/>
      </w:pPr>
      <w:r>
        <w:t>Вывод: поток новых технологических компаний с деньгами сейчас формирует ФСИ. Эти компании обязаны в срок выйти на продажи и отчитаться — именно здесь возникает спрос на сайт продукта, автоматизацию продаж и ИИ-функции.</w:t>
      </w:r>
    </w:p>
    <w:p>
      <w:pPr>
        <w:pStyle w:val="Heading2"/>
      </w:pPr>
      <w:r>
        <w:t>3.3. Подсегменты и что предлагать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8"/>
              </w:rPr>
              <w:t>Подсегмент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Компаний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Медиана, млн 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Сотр.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Боль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Предложение МАТ-Лабс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Чек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Т1. Стартапы и R&amp;D (НИОКР, ПО)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1 693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Нужны первые продажи и отчёт о коммерциализации; нет своих разработчиков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Сайт/лендинг продукта, MVP-интерфейс, ИИ-ассистент, CRM для первых клиентов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180–600 тыс. ₽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Т2. Промышленные производители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993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Заявки и КП вручную, разрозненные таблицы, рост после субсидии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Автоматизация заявок и КП, интеграция CRM/1С, ИИ-обработка документов и ТЗ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250–600 тыс. ₽ + сопровождение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Т3. Технологичные сервисы и прочие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545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Нужно больше заявок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Сайт с заявками, ИИ-чат, CRM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150–300 тыс. ₽</w:t>
            </w:r>
          </w:p>
        </w:tc>
      </w:tr>
    </w:tbl>
    <w:p/>
    <w:p>
      <w:pPr>
        <w:pStyle w:val="Heading1"/>
      </w:pPr>
      <w:r>
        <w:t>4. АПК</w:t>
      </w:r>
    </w:p>
    <w:p>
      <w:pPr>
        <w:pStyle w:val="Heading2"/>
      </w:pPr>
      <w:r>
        <w:t>4.1. Портрет</w:t>
      </w:r>
    </w:p>
    <w:p>
      <w:pPr>
        <w:pStyle w:val="ListBullet"/>
      </w:pPr>
      <w:r>
        <w:t>7 632 компании, 120,6 млрд ₽, медиана — 4,1 млн ₽ на компанию. Медиана численности — 23 человека, у 556 хозяйств больше 100 сотрудников.</w:t>
      </w:r>
    </w:p>
    <w:p>
      <w:pPr>
        <w:pStyle w:val="ListBullet"/>
      </w:pPr>
      <w:r>
        <w:t>Растениеводство: 3 974 компании и 42,4 млрд ₽. Животноводство: 1 753 компании и 47,0 млрд ₽, медиана здесь втрое выше — 9,1 млн ₽. Переработка: 713 компаний и 11,1 млрд ₽.</w:t>
      </w:r>
    </w:p>
    <w:p>
      <w:pPr>
        <w:pStyle w:val="ListBullet"/>
      </w:pPr>
      <w:r>
        <w:t>Лидеры по сумме — Нижегородская, Свердловская, Вологодская области и Красноярский край (около 7 млрд ₽ каждый). По числу получателей — Ростовская область, Башкортостан, Алтайский край.</w:t>
      </w:r>
    </w:p>
    <w:p>
      <w:pPr>
        <w:pStyle w:val="ListBullet"/>
      </w:pPr>
      <w:r>
        <w:t>Поддержка постоянная: 69% хозяйств получали её минимум четыре года из шести, у 64% — три выплаты и больше с 2024 года. Новых получателей с 2024 года — только 15%.</w:t>
      </w:r>
    </w:p>
    <w:p>
      <w:r/>
    </w:p>
    <w:p>
      <w:pPr>
        <w:pStyle w:val="Heading2"/>
      </w:pPr>
      <w:r>
        <w:t>4.2. Тенденции</w:t>
      </w:r>
    </w:p>
    <w:p>
      <w:r/>
    </w:p>
    <w:p>
      <w:r/>
    </w:p>
    <w:p>
      <w:pPr>
        <w:pStyle w:val="ListBullet"/>
      </w:pPr>
      <w:r>
        <w:t>Объём стабилен, но медианная сумма на хозяйство снижается: 3,3 млн ₽ в 2023, 2,3 млн в 2024–2025, 2,0 млн в 2026. Поддержка «размазывается» тоньше — хозяйствам приходится искать эффективность внутри.</w:t>
      </w:r>
    </w:p>
    <w:p>
      <w:pPr>
        <w:pStyle w:val="ListBullet"/>
      </w:pPr>
      <w:r>
        <w:t>Сильная сезонность: пики в марте–апреле (посевная) и в декабре (закрытие года). Лучшее окно для продаж — январь–февраль и сентябрь–ноябрь, когда хозяйства планируют бюджет.</w:t>
      </w:r>
    </w:p>
    <w:p>
      <w:pPr>
        <w:pStyle w:val="ListBullet"/>
      </w:pPr>
      <w:r>
        <w:t>Концентрация: 10% хозяйств получают 62% денег. Именно у крупных хозяйств есть бюджет на цифровизацию и сложная отчётность по субсидиям.</w:t>
      </w:r>
    </w:p>
    <w:p>
      <w:pPr>
        <w:pStyle w:val="Heading2"/>
      </w:pPr>
      <w:r>
        <w:t>4.3. Подсегменты и что предлагать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8"/>
              </w:rPr>
              <w:t>Подсегмент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Компаний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Медиана, млн 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Сотр.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Боль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Предложение МАТ-Лабс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Чек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А1. Крупные хозяйства и племзаводы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827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Много субсидий — много отчётности; данные в разных системах; контроль техники и людей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Цифровой учёт и отчётность по субсидиям, дашборд руководителя, интеграции с 1С и ФГИС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от 500 тыс. ₽ + сопровождение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А2. Фермеры и средние хозяйства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6 092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Сбыт через посредников; нехватка рук; подача заявок на субсидии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Сайт и сбыт напрямую, бот для заказов в Telegram/MAX, ИИ-помощник по документам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150–300 тыс. ₽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А3. Переработка и пищевое производство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713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Сбыт в сети и маркетплейсы, работа с B2B-заявками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B2B-портал заявок, интеграции с маркетплейсами, автоматизация КП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250–500 тыс. ₽</w:t>
            </w:r>
          </w:p>
        </w:tc>
      </w:tr>
    </w:tbl>
    <w:p/>
    <w:p>
      <w:pPr>
        <w:pStyle w:val="Heading1"/>
      </w:pPr>
      <w:r>
        <w:t>5. Прочие МСП (кратко)</w:t>
      </w:r>
    </w:p>
    <w:p>
      <w:pPr>
        <w:pStyle w:val="ListBullet"/>
      </w:pPr>
      <w:r>
        <w:t>7 356 компаний, 33,3 млрд ₽, медиана — всего 0,69 млн ₽. Это мелкие региональные субсидии: Белгородская и Московская области, ХМАО, Башкортостан, Оренбургская область.</w:t>
      </w:r>
    </w:p>
    <w:p>
      <w:pPr>
        <w:pStyle w:val="ListBullet"/>
      </w:pPr>
      <w:r>
        <w:t>Перспективные подсегменты: производство (2 290 компаний, медиана — 24 сотрудника), медицина и образование (820), туризм и общепит (794).</w:t>
      </w:r>
    </w:p>
    <w:p>
      <w:pPr>
        <w:pStyle w:val="ListBullet"/>
      </w:pPr>
      <w:r>
        <w:t>Предложения: онлайн-запись и бронирование с ИИ-чатом, сайт с заявками, CRM. Чек — 150–300 тыс. ₽. Работать через типовые пакеты и рассылки, без глубоких продаж.</w:t>
      </w:r>
    </w:p>
    <w:p>
      <w:pPr>
        <w:pStyle w:val="Heading1"/>
      </w:pPr>
      <w:r>
        <w:t>6. Рейтинги (кратко)</w:t>
      </w:r>
    </w:p>
    <w:p>
      <w:r>
        <w:rPr>
          <w:b/>
        </w:rPr>
        <w:t>Технологии и промышленность — топ-10 по объёму поддержки 2024–2026, млн 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Отрасль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Сумма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Выплат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"ЭКОЛИБРИ"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НИОКР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1373.0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"ТЕРМИНАЛ"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ИТ и разработка ПО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900.0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"ЭДЕЛЬВЕЙС"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НИОКР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667.9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"РУССИЛИКА"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Омская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Химия, фарма, медизделия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461.8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"КБ РУСЬ"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Воронежская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450.0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"СК БЕЛМАКС"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Санкт-Петербург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Транспорт и логистика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317.8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"ПК МИЛЕСТА"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Металлургия и металлообработка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284.0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"ПРОМТЕХ-СЕРВИС"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Московская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278.3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"ТРАНСПОРТ БУДУЩЕГО"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275.0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"КОНЦЕРН "ЗВЕЗДА"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Химия, фарма, медизделия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273.4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</w:rPr>
        <w:t>АПК — топ-10 по объёму поддержки 2024–2026, млн 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Отрасль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Сумма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Выплат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"СЗ "ВАТАН"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Башкортостан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Строительство, недвижимость, инжиниринг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1132.8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ПЛЕМЗАВОД - КОЛХОЗ "АВРОРА"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Вологодская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790.5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"КАЛИНИНГРАД ФРЭНЧ ФРАЙЗ"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Калининградская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677.3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"НИКИТИНО"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АПК: животноводство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640.3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"ПЛЕМЕННОЙ ЗАВОД "КОМСОМОЛЕЦ"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Забайкальский край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АПК: растениеводство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619.9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"САЛЕХАРДСКИЙ КОМБИНАТ"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ЯНАО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560.7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АП "ЗАРЯ ПУТИНО"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Пермский край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524.6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ПЛЕМЗАВОД -КОЛХОЗ ИМЕНИ 50-ЛЕТИЯ СССР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Вологодская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520.1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"НАШ КРЫМ"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Татарстан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478.1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"ТАЗОВСКИЕ ОЛЕНИ"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ЯНАО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463.8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rPr>
          <w:b w:val="0"/>
        </w:rPr>
        <w:t>Полные списки с приоритетами — в файле сегментации (листы «Технологии», «АПК», «Прочие МСП»).</w:t>
      </w:r>
    </w:p>
    <w:p>
      <w:pPr>
        <w:pStyle w:val="Heading1"/>
      </w:pPr>
      <w:r>
        <w:t>7. План продаж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  <w:t>Шаг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Кому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Что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Т1: получатели ФСИ 2026 года (192 компании)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Письмо «Грант получен — пора к первым продажам»: сайт продукта + CRM + ИИ-ассистент; бесплатный аудит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Ноябрь 2026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Т2: производители с поддержкой Минпромторга и регионов (383 в 1-й волне)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Кейс «КП за 10 минут»: автоматизация заявок и документов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Ноябрь–декабрь 2026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А1: крупные хозяйства (756 в 1-й волне)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Демо дашборда субсидий и отчётности; звонок агроному или главному экономисту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Январь–февраль 2027 (до посевной)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А2/А3: фермеры и переработчики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Пакет «Сайт + бот заказов» по фиксированной цене; вебинар со статьёй учисьпро.рф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Декабрь 2026 – февраль 2027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Прочие МСП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Типовые пакеты и рассылка по подсегментам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Постоянно</w:t>
            </w:r>
          </w:p>
        </w:tc>
      </w:tr>
    </w:tbl>
    <w:p/>
    <w:p>
      <w:pPr>
        <w:pStyle w:val="ListBullet"/>
      </w:pPr>
      <w:r>
        <w:t>Ожидаемая конверсия холодного контакта во встречу — 2–4%, во встречу и сделку — 15–25% (оценка, проверить на первых 300 контактах).</w:t>
      </w:r>
    </w:p>
    <w:p>
      <w:pPr>
        <w:pStyle w:val="ListBullet"/>
      </w:pPr>
      <w:r>
        <w:t>Не обещать помощь в получении грантов и субсидий как гарантированный результат. Говорить о пользе после получения: продажи, учёт, отчётность.</w:t>
      </w:r>
    </w:p>
    <w:p>
      <w:pPr>
        <w:pStyle w:val="ListBullet"/>
      </w:pPr>
      <w:r>
        <w:t>Пишите на общие корпоративные адреса, с персональным предложением и возможностью отписаться.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