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Агробизнес на субсидиях: рейтинг хозяйств и куда идут 120 млрд ₽ государственной поддержки</w:t>
      </w:r>
    </w:p>
    <w:p>
      <w:r>
        <w:rPr>
          <w:i/>
        </w:rPr>
        <w:t>Аналитическая справка учисьпро.рф по открытым данным ФНС. Рейтинг получателей 2024–2026 годов.</w:t>
      </w:r>
    </w:p>
    <w:p>
      <w:r>
        <w:t>Сельское хозяйство — главный получатель денежной поддержки среди малого и среднего бизнеса. С 2024 года 7 632 хозяйства и переработчика получили 120,6 млрд ₽ субсидий — больше, чем технологический бизнес и все остальные отрасли МСП вместе взятые.</w:t>
      </w:r>
    </w:p>
    <w:p>
      <w:r>
        <w:t>Но за большими цифрами — тонкая тенденция: денег столько же, а на одно хозяйство приходится всё меньше. Разбираем, кто получает, где и что это значит для агробизнеса.</w:t>
      </w:r>
    </w:p>
    <w:p>
      <w:pPr>
        <w:pStyle w:val="Heading1"/>
      </w:pPr>
      <w:r>
        <w:t>Коротко</w:t>
      </w:r>
    </w:p>
    <w:p>
      <w:pPr>
        <w:pStyle w:val="ListBullet"/>
      </w:pPr>
      <w:r>
        <w:rPr>
          <w:b/>
        </w:rPr>
        <w:t>120,6 млрд ₽</w:t>
      </w:r>
      <w:r>
        <w:t xml:space="preserve"> получили 7 632 сельхозпредприятия МСП за 2024–2026 годы. Медиана — 4,1 млн ₽ на хозяйство.</w:t>
      </w:r>
    </w:p>
    <w:p>
      <w:pPr>
        <w:pStyle w:val="ListBullet"/>
      </w:pPr>
      <w:r>
        <w:rPr>
          <w:b/>
        </w:rPr>
        <w:t>Объём стабилен.</w:t>
      </w:r>
      <w:r>
        <w:t xml:space="preserve"> За январь–сентябрь: 34,1 млрд ₽ в 2024, 33,8 млрд в 2025, 28,4 млрд в 2026 году.</w:t>
      </w:r>
    </w:p>
    <w:p>
      <w:pPr>
        <w:pStyle w:val="ListBullet"/>
      </w:pPr>
      <w:r>
        <w:rPr>
          <w:b/>
        </w:rPr>
        <w:t>На одно хозяйство — меньше.</w:t>
      </w:r>
      <w:r>
        <w:t xml:space="preserve"> Медианная поддержка в год упала с 3,3 млн ₽ в 2023 году до 2,0 млн в 2026.</w:t>
      </w:r>
    </w:p>
    <w:p>
      <w:pPr>
        <w:pStyle w:val="ListBullet"/>
      </w:pPr>
      <w:r>
        <w:rPr>
          <w:b/>
        </w:rPr>
        <w:t>Поддержка — каждый год.</w:t>
      </w:r>
      <w:r>
        <w:t xml:space="preserve"> 69% хозяйств получали её минимум четыре года из шести. Новых получателей с 2024 года — только 15%.</w:t>
      </w:r>
    </w:p>
    <w:p>
      <w:pPr>
        <w:pStyle w:val="ListBullet"/>
      </w:pPr>
      <w:r>
        <w:rPr>
          <w:b/>
        </w:rPr>
        <w:t>Животноводство — самое «дорогое».</w:t>
      </w:r>
      <w:r>
        <w:t xml:space="preserve"> 1 753 хозяйства получили 47,0 млрд ₽, медиана — 9,1 млн ₽, втрое выше, чем в растениеводстве.</w:t>
      </w:r>
    </w:p>
    <w:p>
      <w:pPr>
        <w:pStyle w:val="ListBullet"/>
      </w:pPr>
      <w:r>
        <w:rPr>
          <w:b/>
        </w:rPr>
        <w:t>Концентрация высокая.</w:t>
      </w:r>
      <w:r>
        <w:t xml:space="preserve"> 10% хозяйств получают 62% всех денег.</w:t>
      </w:r>
    </w:p>
    <w:p>
      <w:r>
        <w:drawing>
          <wp:inline xmlns:a="http://schemas.openxmlformats.org/drawingml/2006/main" xmlns:pic="http://schemas.openxmlformats.org/drawingml/2006/picture">
            <wp:extent cx="5940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k_yt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Тенденция 1: стабильность объёма, сжатие на одно хозяйство</w:t>
      </w:r>
    </w:p>
    <w:p>
      <w:r>
        <w:t>Субсидии АПК — самый устойчивый поток поддержки МСП. В 2023 году был пик (52,6 млрд ₽ за год), затем объём стабилизировался около 45–47 млрд ₽ в год.</w:t>
      </w:r>
    </w:p>
    <w:p>
      <w:r>
        <w:t>Важно другое: медианная сумма на одно хозяйство за год снизилась с 3,3 млн ₽ в 2023 году до 2,3 млн в 2024–2025 и 2,0 млн в 2026 году. Поддержка распределяется тоньше — и это прямой сигнал искать рентабельность в собственной операционной эффективности.</w:t>
      </w:r>
    </w:p>
    <w:p>
      <w:pPr>
        <w:pStyle w:val="Heading1"/>
      </w:pPr>
      <w:r>
        <w:t>Тенденция 2: это не грант, а часть экономики хозяйства</w:t>
      </w:r>
    </w:p>
    <w:p>
      <w:r>
        <w:t>В отличие от технологического бизнеса, где грант — разовое событие, в АПК субсидия — постоянный элемент модели. 64% хозяйств получили три выплаты и больше только с 2024 года. 41% получали поддержку все три года подряд — и на них приходится 74% денег.</w:t>
      </w:r>
    </w:p>
    <w:p>
      <w:r>
        <w:t>Это значит, что у среднего хозяйства есть регулярная работа с заявками, отчётами и контролем целевого использования. А там, где есть регулярная бумажная работа, есть и потенциал автоматизации.</w:t>
      </w:r>
    </w:p>
    <w:p>
      <w:pPr>
        <w:pStyle w:val="Heading1"/>
      </w:pPr>
      <w:r>
        <w:t>Тенденция 3: сезонность</w:t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k_sea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Пики выплат — март–апрель (посевная) и декабрь (закрытие финансового года). Январь, февраль и сентябрь — самые «тихие» месяцы. Именно в это время хозяйства планируют бюджет и принимают решения о вложениях.</w:t>
      </w:r>
    </w:p>
    <w:p>
      <w:pPr>
        <w:pStyle w:val="Heading1"/>
      </w:pPr>
      <w:r>
        <w:t>Куда идут деньги: направления</w:t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k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Растениеводство</w:t>
      </w:r>
      <w:r>
        <w:t xml:space="preserve"> — 3 974 хозяйства и 42,4 млрд ₽. Самый массовый сегмент, медиана — 3,0 млн ₽, 18 сотрудников.</w:t>
      </w:r>
    </w:p>
    <w:p>
      <w:pPr>
        <w:pStyle w:val="ListBullet"/>
      </w:pPr>
      <w:r>
        <w:rPr>
          <w:b/>
        </w:rPr>
        <w:t>Животноводство</w:t>
      </w:r>
      <w:r>
        <w:t xml:space="preserve"> — 1 753 хозяйства и 47,0 млрд ₽. Молочное скотоводство, племенные заводы, птица, свиноводство. Медиана — 9,1 млн ₽, 43 сотрудника.</w:t>
      </w:r>
    </w:p>
    <w:p>
      <w:pPr>
        <w:pStyle w:val="ListBullet"/>
      </w:pPr>
      <w:r>
        <w:rPr>
          <w:b/>
        </w:rPr>
        <w:t>Переработка и пищевое производство</w:t>
      </w:r>
      <w:r>
        <w:t xml:space="preserve"> — 713 компаний и 11,1 млрд ₽. Самый «молодой» сегмент: 24% компаний появились в реестре МСП с 2022 года.</w:t>
      </w:r>
    </w:p>
    <w:p>
      <w:pPr>
        <w:pStyle w:val="ListBullet"/>
      </w:pPr>
      <w:r>
        <w:rPr>
          <w:b/>
        </w:rPr>
        <w:t>Смешанные хозяйства, рыбоводство, торговля сельхозпродукцией</w:t>
      </w:r>
      <w:r>
        <w:t xml:space="preserve"> — в совокупности ещё около 10 млрд ₽.</w:t>
      </w:r>
    </w:p>
    <w:p>
      <w:pPr>
        <w:pStyle w:val="Heading1"/>
      </w:pPr>
      <w:r>
        <w:t>Регионы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Хозяйств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Поддержка, млрд 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Медиана, млн ₽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275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7,57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8,26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Свердловская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178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7,28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16,74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Красноярский край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7,03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9,86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Вологодская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6,98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19,12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Башкортостан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427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5,82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2,91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Самарская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5,04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3,96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Ростовская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4,36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3,71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Пермский край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3,74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7,63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Воронежская обл.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314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3,31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4,14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Удмуртия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254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3,27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6,36</w:t>
            </w:r>
          </w:p>
        </w:tc>
      </w:tr>
    </w:tbl>
    <w:p>
      <w:r>
        <w:t>Видны две модели. В Нижегородской, Свердловской, Вологодской областях и Красноярском крае мало получателей и высокая медиана: поддержка сосредоточена на крупных молочных и племенных хозяйствах. В Башкортостане, Ростовской и Самарской областях получателей много, а медиана ниже: поддержка массовая, преимущественно для растениеводства.</w:t>
      </w:r>
    </w:p>
    <w:p>
      <w:pPr>
        <w:pStyle w:val="Heading1"/>
      </w:pPr>
      <w:r>
        <w:t>Рейтинг: топ-20 получателей 2024–2026</w:t>
      </w:r>
    </w:p>
    <w:p>
      <w:r>
        <w:t>Рейтинг составлен по сумме субсидий, полученных с 2024 года по сентябрь 2026 года. Это рейтинг объёма господдержки, а не оценка эффективности хозяйства.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sz w:val="18"/>
              </w:rPr>
              <w:t>№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Компания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Регион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Отрасль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Поддержка 2024–2026, млн 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Выплат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Сотрудников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"СЗ "ВАТАН"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Башкортостан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Строительство, недвижимость, инжиниринг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1 132,8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ПЛЕМЗАВОД - КОЛХОЗ "АВРОРА"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Вологодская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790,5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"КАЛИНИНГРАД ФРЭНЧ ФРАЙЗ"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Калининградская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677,3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138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"НИКИТИНО"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640,3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116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"ПЛЕМЕННОЙ ЗАВОД "КОМСОМОЛЕЦ"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Забайкальский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растениеводство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619,9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179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"САЛЕХАРДСКИЙ КОМБИНАТ"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ЯНАО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560,7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АП "ЗАРЯ ПУТИНО"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Пермский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524,6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ПЛЕМЗАВОД -КОЛХОЗ ИМЕНИ 50-ЛЕТИЯ СССР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Вологодская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520,1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"НАШ КРЫМ"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Татарстан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478,1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112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"ТАЗОВСКИЕ ОЛЕНИ"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ЯНАО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463,8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АО "УДАРНИК"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Псковская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450,5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135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ППР "УРАЛЬСКИЙ"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Челябинская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409,5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"АГРОТЕК"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Камчатский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Пищевая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401,4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"ТЕПЛИЧНЫЙ"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Амурская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растениеводство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398,0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"РУССКИЙ ЛЁН"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Калужская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Прочая промышленность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382,0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158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"БУТУРЛИНСКОЕ ЗЕРНО"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380,2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180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"МАЛТАТ"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Красноярский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рыба, лес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365,6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167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"НЕКРАСОВО-1"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Свердловская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365,4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214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ООО А "УЧУМСКАЯ"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Красноярский край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растениеводство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365,0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248</w:t>
            </w:r>
          </w:p>
        </w:tc>
      </w:tr>
      <w:tr>
        <w:tc>
          <w:tcPr>
            <w:tcW w:type="dxa" w:w="142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СПК "БЕРЕЗНИКИ"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Нижегородская обл.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животноводство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362,6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25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i/>
        </w:rPr>
        <w:t>Направление — по основному виду деятельности в реестре МСП; «—» означает, что вида деятельности нет в реестре. Число сотрудников — по данным ФНС за прошлый год.</w:t>
      </w:r>
    </w:p>
    <w:p>
      <w:r>
        <w:t>В рейтинге преобладают молочные хозяйства и племзаводы Нижегородской, Вологодской, Псковской, Свердловской областей, а также переработчики — от картофеля фри в Калининграде до оленины на Ямале.</w:t>
      </w:r>
    </w:p>
    <w:p>
      <w:pPr>
        <w:pStyle w:val="Heading1"/>
      </w:pPr>
      <w:r>
        <w:t>Что это значит для отрасли</w:t>
      </w:r>
    </w:p>
    <w:p>
      <w:r>
        <w:rPr>
          <w:b/>
        </w:rPr>
        <w:t>1. Эффективность важнее субсидий.</w:t>
      </w:r>
      <w:r>
        <w:t xml:space="preserve"> При снижающейся сумме на хозяйство выигрывают те, кто считает себестоимость, контролирует технику и людей, видит данные в реальном времени.</w:t>
      </w:r>
    </w:p>
    <w:p>
      <w:r>
        <w:rPr>
          <w:b/>
        </w:rPr>
        <w:t>2. Отчётность — скрытая статья затрат.</w:t>
      </w:r>
      <w:r>
        <w:t xml:space="preserve"> Хозяйство с десятками субсидий в год тратит на заявки, отчёты и подтверждение целевого использования тысячи часов. Цифровой учёт сокращает эту нагрузку.</w:t>
      </w:r>
    </w:p>
    <w:p>
      <w:r>
        <w:rPr>
          <w:b/>
        </w:rPr>
        <w:t>3. Переработка растёт.</w:t>
      </w:r>
      <w:r>
        <w:t xml:space="preserve"> Молодые переработчики — самый динамичный сегмент. Им нужен прямой сбыт: B2B-заявки, маркетплейсы, работа с торговыми сетями.</w:t>
      </w:r>
    </w:p>
    <w:p>
      <w:r>
        <w:rPr>
          <w:b/>
        </w:rPr>
        <w:t>4. Фермерам нужен прямой канал к покупателю.</w:t>
      </w:r>
      <w:r>
        <w:t xml:space="preserve"> Шесть тысяч небольших хозяйств продают через посредников. Сайт, бот для заказов и простая CRM дают им прямой контакт с покупателем.</w:t>
      </w:r>
    </w:p>
    <w:p>
      <w:pPr>
        <w:pStyle w:val="Heading1"/>
      </w:pPr>
      <w:r>
        <w:t>Методика</w:t>
      </w:r>
    </w:p>
    <w:p>
      <w:pPr>
        <w:pStyle w:val="ListBullet"/>
      </w:pPr>
      <w:r>
        <w:rPr>
          <w:b/>
        </w:rPr>
        <w:t>Источник:</w:t>
      </w:r>
      <w:r>
        <w:t xml:space="preserve"> реестр получателей поддержки МСП ФНС (выгрузка от 15.10.2026) и реестр МСП ФНС (от 10.10.2026), открытые данные nalog.gov.ru.</w:t>
      </w:r>
    </w:p>
    <w:p>
      <w:pPr>
        <w:pStyle w:val="ListBullet"/>
      </w:pPr>
      <w:r>
        <w:rPr>
          <w:b/>
        </w:rPr>
        <w:t>Выборка:</w:t>
      </w:r>
      <w:r>
        <w:t xml:space="preserve"> юрлица — субъекты МСП, получившие субсидии деньгами в 2024–2026 годах от органов управления АПК регионов, а также сельхозпроизводители и переработчики по основному виду деятельности. Без ИП, КФХ без юрлица, льготных кредитов, гарантий и лизинга.</w:t>
      </w:r>
    </w:p>
    <w:p>
      <w:pPr>
        <w:pStyle w:val="ListBullet"/>
      </w:pPr>
      <w:r>
        <w:rPr>
          <w:b/>
        </w:rPr>
        <w:t>Очистка:</w:t>
      </w:r>
      <w:r>
        <w:t xml:space="preserve"> исключены две записи с явной ошибкой в реестре (суммы 6,4 и 5,7 млрд ₽ у хозяйств с 13 и 34 сотрудниками).</w:t>
      </w:r>
    </w:p>
    <w:p>
      <w:pPr>
        <w:pStyle w:val="ListBullet"/>
      </w:pPr>
      <w:r>
        <w:rPr>
          <w:b/>
        </w:rPr>
        <w:t>Ограничения:</w:t>
      </w:r>
      <w:r>
        <w:t xml:space="preserve"> крупные агрохолдинги, не являющиеся МСП, и федеральные программы, не передающие данные в реестр, не учтены. 2026 год неполный — данные по сентябрь. Годы сравниваются по одинаковому периоду — январь–сентябрь. Выборка составлена по получателям 2024–2026 годов, поэтому значения 2021–2023 годов показаны для справки.</w:t>
      </w:r>
    </w:p>
    <w:p>
      <w:r>
        <w:rPr>
          <w:i/>
        </w:rPr>
        <w:t>Аналитика подготовлена учисьпро.рф совместно с МАТ-Лабс.</w:t>
      </w:r>
    </w:p>
    <w:p>
      <w:r>
        <w:t>Хотите сократить время на отчётность по субсидиям и видеть данные хозяйства в одном окне? МАТ-Лабс внедряет цифровой учёт и автоматизацию для агробизнеса — mat-labs.ru.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