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Деньги на инновации: куда ушли 35 млрд ₽ грантов малому технологическому бизнесу и почему поток сжимается</w:t>
      </w:r>
    </w:p>
    <w:p>
      <w:r>
        <w:rPr>
          <w:i/>
        </w:rPr>
        <w:t>Аналитическая справка учисьпро.рф по открытым данным ФНС. Рейтинг получателей 2024–2026 годов.</w:t>
      </w:r>
    </w:p>
    <w:p>
      <w:r>
        <w:t>С 2024 года 3 231 малая и средняя технологическая и промышленная компания получила 35,5 млрд ₽ грантов и субсидий. Цифра впечатляет, но за ней видна главная тенденция: деньги по-прежнему раздают, но получателей становится меньше. За первые девять месяцев 2026 года технологический МСП получил 3,0 млрд ₽ — втрое меньше, чем за тот же период 2024 года.</w:t>
      </w:r>
    </w:p>
    <w:p>
      <w:r>
        <w:t>Мы разобрали реестр получателей поддержки МСП ФНС, свели его с реестром МСП и собрали картину: кто даёт деньги, кто их получает, в каких регионах и что это значит для рынка.</w:t>
      </w:r>
    </w:p>
    <w:p>
      <w:pPr>
        <w:pStyle w:val="Heading1"/>
      </w:pPr>
      <w:r>
        <w:t>Коротко</w:t>
      </w:r>
    </w:p>
    <w:p>
      <w:pPr>
        <w:pStyle w:val="ListBullet"/>
      </w:pPr>
      <w:r>
        <w:rPr>
          <w:b/>
        </w:rPr>
        <w:t>35,5 млрд ₽</w:t>
      </w:r>
      <w:r>
        <w:t xml:space="preserve"> получили 3 231 технологическая и промышленная компания МСП за 2024–2026 годы. Медиана — 4 млн ₽ на компанию.</w:t>
      </w:r>
    </w:p>
    <w:p>
      <w:pPr>
        <w:pStyle w:val="ListBullet"/>
      </w:pPr>
      <w:r>
        <w:rPr>
          <w:b/>
        </w:rPr>
        <w:t>Пик пройден.</w:t>
      </w:r>
      <w:r>
        <w:t xml:space="preserve"> За январь–сентябрь: 9,9 млрд ₽ в 2024, 7,7 млрд в 2025, 3,0 млрд в 2026 году.</w:t>
      </w:r>
    </w:p>
    <w:p>
      <w:pPr>
        <w:pStyle w:val="ListBullet"/>
      </w:pPr>
      <w:r>
        <w:rPr>
          <w:b/>
        </w:rPr>
        <w:t>Минпромторг и Москва отступили.</w:t>
      </w:r>
      <w:r>
        <w:t xml:space="preserve"> Их выдачи этим компаниям за девять месяцев 2026 года упали до 0,6 и 0,2 млрд ₽ против 5,3 и 1,8 млрд в 2024 году.</w:t>
      </w:r>
    </w:p>
    <w:p>
      <w:pPr>
        <w:pStyle w:val="ListBullet"/>
      </w:pPr>
      <w:r>
        <w:rPr>
          <w:b/>
        </w:rPr>
        <w:t>Фонд содействия инновациям вырос.</w:t>
      </w:r>
      <w:r>
        <w:t xml:space="preserve"> 2,0 млрд ₽ и 192 компании за девять месяцев 2026 года — больше, чем за тот же период 2024 года (1,7 млрд ₽).</w:t>
      </w:r>
    </w:p>
    <w:p>
      <w:pPr>
        <w:pStyle w:val="ListBullet"/>
      </w:pPr>
      <w:r>
        <w:rPr>
          <w:b/>
        </w:rPr>
        <w:t>Москва забирает 46% денег.</w:t>
      </w:r>
      <w:r>
        <w:t xml:space="preserve"> 1 554 из 3 231 получателя зарегистрированы в столице.</w:t>
      </w:r>
    </w:p>
    <w:p>
      <w:pPr>
        <w:pStyle w:val="ListBullet"/>
      </w:pPr>
      <w:r>
        <w:rPr>
          <w:b/>
        </w:rPr>
        <w:t>Это молодой и маленький бизнес.</w:t>
      </w:r>
      <w:r>
        <w:t xml:space="preserve"> 72% — микропредприятия, медиана — 7 сотрудников, 42% компаний появились в реестре МСП с 2022 года.</w:t>
      </w:r>
    </w:p>
    <w:p>
      <w:r>
        <w:drawing>
          <wp:inline xmlns:a="http://schemas.openxmlformats.org/drawingml/2006/main" xmlns:pic="http://schemas.openxmlformats.org/drawingml/2006/picture">
            <wp:extent cx="5940000" cy="308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_yt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8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Кто даёт деньги</w:t>
      </w:r>
    </w:p>
    <w:p>
      <w:r>
        <w:t>Технологический МСП финансируют несколько крупных источников, и каждый ведёт себя по-своему.</w:t>
      </w:r>
    </w:p>
    <w:p>
      <w:r>
        <w:rPr>
          <w:b/>
        </w:rPr>
        <w:t>Минпромторг России</w:t>
      </w:r>
      <w:r>
        <w:t xml:space="preserve"> — крупнейший источник по сумме: 14,1 млрд ₽ за 2024–2026 годы. Суммы большие, получатели — производители: машиностроение, химия, металлообработка. Пик пришёлся на 2024–2025 годы, в 2026 году поток резко сократился.</w:t>
      </w:r>
    </w:p>
    <w:p>
      <w:r>
        <w:rPr>
          <w:b/>
        </w:rPr>
        <w:t>Фонд содействия инновациям (ФСИ)</w:t>
      </w:r>
      <w:r>
        <w:t xml:space="preserve"> — крупнейший источник по числу получателей: 1 145 компаний и 11,1 млрд ₽. Типовые суммы — 4–5 млн ₽ для стартапов на ранней стадии и 10–30 млн ₽ для компаний, выходящих на рынок. ФСИ работает волнами: сильный 2024 год, провал в 2025 и новый рост в 2026 году.</w:t>
      </w:r>
    </w:p>
    <w:p>
      <w:r>
        <w:rPr>
          <w:b/>
        </w:rPr>
        <w:t>Департамент предпринимательства и инновационного развития Москвы</w:t>
      </w:r>
      <w:r>
        <w:t xml:space="preserve"> — 760 компаний и 6,1 млрд ₽. Медиана — около 1 млн ₽, то есть в основном это небольшие компенсации и субсидии столичным компаниям.</w:t>
      </w:r>
    </w:p>
    <w:p>
      <w:r>
        <w:rPr>
          <w:b/>
        </w:rPr>
        <w:t>Фонд «Сколково», Московский инновационный кластер, Комитет по промышленной политике Санкт-Петербурга</w:t>
      </w:r>
      <w:r>
        <w:t xml:space="preserve"> — заметные, но меньшие по объёму источники. По этой выборке Фонд «Сколково» в 2026 году выдач не показывает.</w:t>
      </w:r>
    </w:p>
    <w:p>
      <w:r>
        <w:drawing>
          <wp:inline xmlns:a="http://schemas.openxmlformats.org/drawingml/2006/main" xmlns:pic="http://schemas.openxmlformats.org/drawingml/2006/picture">
            <wp:extent cx="5940000" cy="3267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_issu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6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 значит.</w:t>
      </w:r>
      <w:r>
        <w:t xml:space="preserve"> Рынок переходит от крупных промышленных субсидий 2024–2025 годов к множеству небольших грантов на ранних стадиях. Денег в системе меньше, а конкуренция за них — выше.</w:t>
      </w:r>
    </w:p>
    <w:p>
      <w:pPr>
        <w:pStyle w:val="Heading1"/>
      </w:pPr>
      <w:r>
        <w:t>Кто получает: отрасли</w:t>
      </w:r>
    </w:p>
    <w:p>
      <w:pPr>
        <w:pStyle w:val="ListBullet"/>
      </w:pPr>
      <w:r>
        <w:rPr>
          <w:b/>
        </w:rPr>
        <w:t>НИОКР</w:t>
      </w:r>
      <w:r>
        <w:t xml:space="preserve"> — 1 011 компаний и 9,3 млрд ₽. Медиана численности — 3 человека: это команды разработчиков и исследователей.</w:t>
      </w:r>
    </w:p>
    <w:p>
      <w:pPr>
        <w:pStyle w:val="ListBullet"/>
      </w:pPr>
      <w:r>
        <w:rPr>
          <w:b/>
        </w:rPr>
        <w:t>ИТ и разработка ПО</w:t>
      </w:r>
      <w:r>
        <w:t xml:space="preserve"> — 682 компании и 5,6 млрд ₽. Две трети появились в реестре после 2022 года.</w:t>
      </w:r>
    </w:p>
    <w:p>
      <w:pPr>
        <w:pStyle w:val="ListBullet"/>
      </w:pPr>
      <w:r>
        <w:rPr>
          <w:b/>
        </w:rPr>
        <w:t>Машиностроение</w:t>
      </w:r>
      <w:r>
        <w:t xml:space="preserve"> — 252 компании и 6,6 млрд ₽. Самая высокая медиана среди массовых отраслей — 6,2 млн ₽, медиана численности — 26 человек.</w:t>
      </w:r>
    </w:p>
    <w:p>
      <w:pPr>
        <w:pStyle w:val="ListBullet"/>
      </w:pPr>
      <w:r>
        <w:rPr>
          <w:b/>
        </w:rPr>
        <w:t>Электроника, химия и медизделия, металлообработка</w:t>
      </w:r>
      <w:r>
        <w:t xml:space="preserve"> — по 140–170 компаний и 1,4–2,0 млрд ₽ в каждой.</w:t>
      </w:r>
    </w:p>
    <w:p>
      <w:r>
        <w:drawing>
          <wp:inline xmlns:a="http://schemas.openxmlformats.org/drawingml/2006/main" xmlns:pic="http://schemas.openxmlformats.org/drawingml/2006/picture">
            <wp:extent cx="5940000" cy="356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_clust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Видна чёткая граница. С одной стороны — молодые команды НИОКР и ИТ с одним-двумя грантами. С другой — зрелые производители, которые получают поддержку годами и по нескольку раз в год.</w:t>
      </w:r>
    </w:p>
    <w:p>
      <w:pPr>
        <w:pStyle w:val="Heading1"/>
      </w:pPr>
      <w:r>
        <w:t>Регионы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sz w:val="18"/>
              </w:rPr>
              <w:t>Регион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Компаний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Поддержка, млрд ₽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Медиана, млн ₽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Москва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1554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16,27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3,0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Санкт-Петербург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408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3,84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4,0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Московская обл.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118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1,83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5,0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Ростовская обл.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1,29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5,0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Воронежская обл.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1,17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5,0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Новосибирская обл.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163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0,87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4,0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Белгородская обл.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0,67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17,7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Омская обл.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0,6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3,25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Краснодарский край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0,57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5,0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Самарская обл.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0,56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5,0</w:t>
            </w:r>
          </w:p>
        </w:tc>
      </w:tr>
    </w:tbl>
    <w:p>
      <w:r>
        <w:t>Москва и Санкт-Петербург вместе — 61% получателей и 57% денег. Интересное исключение — Белгородская область: всего 13 компаний, но медиана — 17,7 млн ₽. Это несколько крупных промышленных проектов, а не массовая поддержка.</w:t>
      </w:r>
    </w:p>
    <w:p>
      <w:pPr>
        <w:pStyle w:val="Heading1"/>
      </w:pPr>
      <w:r>
        <w:t>Рейтинг: топ-20 получателей 2024–2026</w:t>
      </w:r>
    </w:p>
    <w:p>
      <w:r>
        <w:t>Рейтинг составлен по сумме грантов и субсидий, полученных с 2024 года по сентябрь 2026 года. Это рейтинг объёма поддержки, а не оценка качества бизнеса.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rPr>
                <w:sz w:val="18"/>
              </w:rPr>
              <w:t>№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Компания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Регион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Отрасль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Поддержка 2024–2026, млн ₽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Выплат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Основной источник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АО "ЭКОЛИБРИ"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Москва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НИОКР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1 373,0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Минпромторг России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ООО "ТЕРМИНАЛ"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Москва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ИТ и разработка ПО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900,0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ДПиИР Москвы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ООО "ЭДЕЛЬВЕЙС"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Москва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НИОКР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667,9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Минпромторг России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ООО "РУССИЛИКА"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Омская обл.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Химия, фарма, медизделия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461,8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региональные фонды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ООО "КБ РУСЬ"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Воронежская обл.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Машиностроение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450,0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Минпромторг России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ООО "СК БЕЛМАКС"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Санкт-Петербург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Транспорт и логистика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317,8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Минпромторг России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ООО "ПК МИЛЕСТА"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Москва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Металлургия и металлообработка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284,0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Минпромторг России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АО "ПРОМТЕХ-СЕРВИС"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Московская обл.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Машиностроение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278,3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Минпромторг России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ООО "ТРАНСПОРТ БУДУЩЕГО"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Белгородская обл.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275,0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Минпромторг России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ООО "КОНЦЕРН "ЗВЕЗДА"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Москва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Химия, фарма, медизделия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273,4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Минпромторг России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АО "МОТЕК-Ц"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Москва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267,7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ДПиИР Москвы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АО "АНИТИМ"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Алтайский край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Машиностроение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249,0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Минпромторг России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АО "СКАНДА РУС"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Московская обл.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Прочая промышленность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222,7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Минпромторг России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ООО "НАИС 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Ростовская обл.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Электроника и электротехника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221,6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Минпромторг России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ООО "НПО"РУБИН"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Самарская обл.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Машиностроение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219,5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Минпромторг России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ООО "НАВИГАТОР"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Москва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Машиностроение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212,8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Минпромторг России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ООО "ВОЛЖСКАЯ ПЕРЕКИСЬ"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Московская обл.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206,5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Минпромторг России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ООО "ИНТЕХ"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Смоленская обл.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202,7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Минпромторг России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ООО "СПЕЦДОРМАШ"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Челябинская обл.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Машиностроение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201,9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Минпромторг России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ООО ПО "ЯРОСЛАВСКИЙ ТРАКТОР" (ЯРОСЛАВЕЦ)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Ярославская обл.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Машиностроение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193,2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Минпромторг России</w:t>
            </w:r>
          </w:p>
        </w:tc>
      </w:tr>
    </w:tbl>
    <w:p>
      <w:r>
        <w:rPr>
          <w:i/>
        </w:rPr>
        <w:t>Отрасль — по основному виду деятельности в реестре МСП; «—» означает, что вида деятельности нет в реестре.</w:t>
      </w:r>
    </w:p>
    <w:p>
      <w:pPr>
        <w:pStyle w:val="Heading1"/>
      </w:pPr>
      <w:r>
        <w:t>Устойчивые получатели: те, кого поддерживают каждый год</w:t>
      </w:r>
    </w:p>
    <w:p>
      <w:r>
        <w:t>Разовый крупный грант говорит о сильном проекте. Поддержка каждый год — о зрелом бизнесе, который умеет работать с государственными программами. Таких компаний в технологическом сегменте всего 96 (3%), но они получили 10% всех денег.</w:t>
      </w:r>
    </w:p>
    <w:p>
      <w:r>
        <w:t>Почти все они — производители сельхозтехники и оборудования для пищевой промышленности из регионов. Это тихие лидеры, которые растут, не попадая в новости.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rPr>
                <w:sz w:val="18"/>
              </w:rPr>
              <w:t>№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Компания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Регион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Деятельность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Поддержка, млн ₽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Выплат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Сотрудников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АО "АНИТИМ"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Алтайский край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Производство машин и сельскохозяйственного оборудования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249,0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204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ООО "НАИС 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Ростовская обл.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Производство точных весов; производство ручных инструме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221,6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147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ООО "НПО"РУБИН"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Самарская обл.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Производство машин и оборудования для сельского и лесно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219,5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51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ООО "ИНТЕХ"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Смоленская обл.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202,7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ООО "СПЕЦДОРМАШ"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Челябинская обл.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Производство машин и оборудования для добычи полезных и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201,9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34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ООО "АТМ"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Воронежская обл.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Производство машин и оборудования для производства пище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187,3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127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ООО "НАИР"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Ростовская обл.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Производство прочих машин и оборудования для сельского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164,7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113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ООО "БИО СТАНДАРТ"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Москва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Производство биологически активных добавок к пище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138,1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52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ООО "ПРОМЗАПЧАСТЬ"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Белгородская обл.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Производство машин и сельскохозяйственного оборудования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108,2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225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АО "ШМЗ"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Белгородская обл.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Производство машин и оборудования для производства пище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99,9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216</w:t>
            </w:r>
          </w:p>
        </w:tc>
      </w:tr>
    </w:tbl>
    <w:p>
      <w:pPr>
        <w:pStyle w:val="Heading1"/>
      </w:pPr>
      <w:r>
        <w:t>Что это значит для рынка</w:t>
      </w:r>
    </w:p>
    <w:p>
      <w:r>
        <w:rPr>
          <w:b/>
        </w:rPr>
        <w:t>1. Окно крупных субсидий закрывается.</w:t>
      </w:r>
      <w:r>
        <w:t xml:space="preserve"> Промышленным компаниям, которые строили планы под субсидии 2024–2025 годов, придётся искать эффективность внутри: автоматизировать продажи, документы, учёт.</w:t>
      </w:r>
    </w:p>
    <w:p>
      <w:r>
        <w:rPr>
          <w:b/>
        </w:rPr>
        <w:t>2. Ранние стадии растут.</w:t>
      </w:r>
      <w:r>
        <w:t xml:space="preserve"> Поток стартапов с грантами 4–5 млн ₽ продолжится. Слабое место таких команд — коммерциализация: грант нужно превратить в продажи, а продажам нужен сайт, CRM и процесс работы с клиентами.</w:t>
      </w:r>
    </w:p>
    <w:p>
      <w:r>
        <w:rPr>
          <w:b/>
        </w:rPr>
        <w:t>3. Региональные производители недооценены.</w:t>
      </w:r>
      <w:r>
        <w:t xml:space="preserve"> Компании из Алтайского края, Ростовской, Самарской, Воронежской, Белгородской областей стабильно получают поддержку и растут, но их почти не видно в публичном поле.</w:t>
      </w:r>
    </w:p>
    <w:p>
      <w:r>
        <w:rPr>
          <w:b/>
        </w:rPr>
        <w:t>4. Концентрация высокая.</w:t>
      </w:r>
      <w:r>
        <w:t xml:space="preserve"> 10% получателей забирают 62% денег. Для молодой команды шансы выше в программах ФСИ и региональных фондов, а не в крупных отраслевых субсидиях.</w:t>
      </w:r>
    </w:p>
    <w:p>
      <w:pPr>
        <w:pStyle w:val="Heading1"/>
      </w:pPr>
      <w:r>
        <w:t>Методика</w:t>
      </w:r>
    </w:p>
    <w:p>
      <w:pPr>
        <w:pStyle w:val="ListBullet"/>
      </w:pPr>
      <w:r>
        <w:rPr>
          <w:b/>
        </w:rPr>
        <w:t>Источник:</w:t>
      </w:r>
      <w:r>
        <w:t xml:space="preserve"> реестр получателей поддержки МСП ФНС (выгрузка от 15.10.2026) и реестр МСП ФНС (от 10.10.2026), открытые данные nalog.gov.ru.</w:t>
      </w:r>
    </w:p>
    <w:p>
      <w:pPr>
        <w:pStyle w:val="ListBullet"/>
      </w:pPr>
      <w:r>
        <w:rPr>
          <w:b/>
        </w:rPr>
        <w:t>Выборка:</w:t>
      </w:r>
      <w:r>
        <w:t xml:space="preserve"> юрлица — субъекты МСП, получившие гранты и субсидии деньгами в 2024–2026 годах от Минпромторга, Фонда содействия инновациям, Фонда «Сколково», инновационных кластеров и региональных органов промышленной и инновационной политики. Без ИП, кредитов, гарантий и лизинга.</w:t>
      </w:r>
    </w:p>
    <w:p>
      <w:pPr>
        <w:pStyle w:val="ListBullet"/>
      </w:pPr>
      <w:r>
        <w:rPr>
          <w:b/>
        </w:rPr>
        <w:t>Ограничения:</w:t>
      </w:r>
      <w:r>
        <w:t xml:space="preserve"> в реестр попадают только субъекты МСП. Крупные компании и поддержка через госкорпорации и институты развития, не передающие данные в реестр, не учтены. 2026 год неполный — данные по сентябрь включительно. Выдачи сравниваются по одинаковому периоду — январь–сентябрь. Выборка составлена по получателям 2024–2026 годов, поэтому значения 2021–2023 годов на графиках занижены и показаны для справки; выводы о динамике сделаны по 2024–2026 годам.</w:t>
      </w:r>
    </w:p>
    <w:p>
      <w:r>
        <w:rPr>
          <w:i/>
        </w:rPr>
        <w:t>Аналитика подготовлена учисьпро.рф совместно с МАТ-Лабс.</w:t>
      </w:r>
    </w:p>
    <w:p>
      <w:r>
        <w:t>Получили грант и думаете, как превратить его в продажи? МАТ-Лабс помогает технологическим командам запустить сайт продукта, CRM и ИИ-ассистента за несколько недель — mat-labs.ru.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