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3468A54" w14:textId="77777777" w:rsidR="00223DD0" w:rsidRPr="00A565AD" w:rsidRDefault="00223DD0" w:rsidP="00223DD0">
      <w:pPr>
        <w:jc w:val="center"/>
        <w:rPr>
          <w:rFonts w:ascii="Times New Roman" w:hAnsi="Times New Roman"/>
          <w:b/>
          <w:sz w:val="28"/>
          <w:szCs w:val="28"/>
          <w:lang w:val="ru-RU"/>
        </w:rPr>
      </w:pPr>
      <w:bookmarkStart w:id="0" w:name="_Hlk233722633"/>
      <w:bookmarkEnd w:id="0"/>
      <w:r w:rsidRPr="00A565AD">
        <w:rPr>
          <w:rFonts w:ascii="Times New Roman" w:hAnsi="Times New Roman"/>
          <w:b/>
          <w:sz w:val="28"/>
          <w:szCs w:val="28"/>
          <w:lang w:val="ru-RU"/>
        </w:rPr>
        <w:t>АВТОНОМНАЯ НЕКОММЕРЧЕСКАЯ ОРГАНИЗАЦИЯ</w:t>
      </w:r>
    </w:p>
    <w:p w14:paraId="64358611" w14:textId="77777777" w:rsidR="00223DD0" w:rsidRPr="00A565AD" w:rsidRDefault="00223DD0" w:rsidP="00223DD0">
      <w:pPr>
        <w:jc w:val="center"/>
        <w:rPr>
          <w:rFonts w:ascii="Times New Roman" w:hAnsi="Times New Roman"/>
          <w:b/>
          <w:sz w:val="36"/>
          <w:szCs w:val="36"/>
          <w:lang w:val="ru-RU"/>
        </w:rPr>
      </w:pPr>
      <w:r w:rsidRPr="00A565AD">
        <w:rPr>
          <w:rFonts w:ascii="Times New Roman" w:hAnsi="Times New Roman"/>
          <w:b/>
          <w:sz w:val="36"/>
          <w:szCs w:val="36"/>
          <w:lang w:val="ru-RU"/>
        </w:rPr>
        <w:t>дополнительного профессионального образования</w:t>
      </w:r>
    </w:p>
    <w:p w14:paraId="746513F0" w14:textId="0B5126B4" w:rsidR="00223DD0" w:rsidRDefault="00740232" w:rsidP="00223DD0">
      <w:pPr>
        <w:jc w:val="center"/>
        <w:rPr>
          <w:rFonts w:ascii="Times New Roman" w:hAnsi="Times New Roman"/>
          <w:b/>
          <w:sz w:val="36"/>
          <w:szCs w:val="36"/>
          <w:lang w:val="ru-RU"/>
        </w:rPr>
      </w:pPr>
      <w:r>
        <w:rPr>
          <w:noProof/>
        </w:rPr>
        <w:drawing>
          <wp:anchor distT="0" distB="0" distL="114300" distR="114300" simplePos="0" relativeHeight="251657728" behindDoc="1" locked="0" layoutInCell="1" allowOverlap="1" wp14:anchorId="19662FEB" wp14:editId="704E6A4E">
            <wp:simplePos x="0" y="0"/>
            <wp:positionH relativeFrom="column">
              <wp:posOffset>-118110</wp:posOffset>
            </wp:positionH>
            <wp:positionV relativeFrom="paragraph">
              <wp:posOffset>193675</wp:posOffset>
            </wp:positionV>
            <wp:extent cx="1781175" cy="1475105"/>
            <wp:effectExtent l="0" t="0" r="0" b="0"/>
            <wp:wrapNone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1175" cy="1475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23DD0" w:rsidRPr="00A565AD">
        <w:rPr>
          <w:rFonts w:ascii="Times New Roman" w:hAnsi="Times New Roman"/>
          <w:b/>
          <w:sz w:val="36"/>
          <w:szCs w:val="36"/>
          <w:lang w:val="ru-RU"/>
        </w:rPr>
        <w:t>«</w:t>
      </w:r>
      <w:r w:rsidR="00A565AD" w:rsidRPr="00A565AD">
        <w:rPr>
          <w:rFonts w:ascii="Times New Roman" w:hAnsi="Times New Roman"/>
          <w:b/>
          <w:sz w:val="36"/>
          <w:szCs w:val="36"/>
          <w:lang w:val="ru-RU"/>
        </w:rPr>
        <w:t>Учебный центр</w:t>
      </w:r>
      <w:r w:rsidR="00223DD0" w:rsidRPr="00A565AD">
        <w:rPr>
          <w:rFonts w:ascii="Times New Roman" w:hAnsi="Times New Roman"/>
          <w:b/>
          <w:sz w:val="36"/>
          <w:szCs w:val="36"/>
          <w:lang w:val="ru-RU"/>
        </w:rPr>
        <w:t xml:space="preserve"> </w:t>
      </w:r>
      <w:r w:rsidR="00A565AD" w:rsidRPr="00A565AD">
        <w:rPr>
          <w:rFonts w:ascii="Times New Roman" w:hAnsi="Times New Roman"/>
          <w:b/>
          <w:sz w:val="36"/>
          <w:szCs w:val="36"/>
          <w:lang w:val="ru-RU"/>
        </w:rPr>
        <w:t>Гор</w:t>
      </w:r>
      <w:r w:rsidR="00223DD0" w:rsidRPr="00A565AD">
        <w:rPr>
          <w:rFonts w:ascii="Times New Roman" w:hAnsi="Times New Roman"/>
          <w:b/>
          <w:sz w:val="36"/>
          <w:szCs w:val="36"/>
          <w:lang w:val="ru-RU"/>
        </w:rPr>
        <w:t>ГазНефть»</w:t>
      </w:r>
    </w:p>
    <w:p w14:paraId="64BACF41" w14:textId="77777777" w:rsidR="00A565AD" w:rsidRPr="00A565AD" w:rsidRDefault="00A565AD" w:rsidP="00223DD0">
      <w:pPr>
        <w:jc w:val="center"/>
        <w:rPr>
          <w:rFonts w:ascii="Times New Roman" w:hAnsi="Times New Roman"/>
          <w:b/>
          <w:sz w:val="6"/>
          <w:szCs w:val="6"/>
          <w:lang w:val="ru-RU"/>
        </w:rPr>
      </w:pPr>
    </w:p>
    <w:p w14:paraId="6DADCE32" w14:textId="77777777" w:rsidR="00DD545B" w:rsidRPr="009F3D01" w:rsidRDefault="00A565AD" w:rsidP="00DD545B">
      <w:pPr>
        <w:jc w:val="right"/>
        <w:rPr>
          <w:rFonts w:ascii="Times New Roman" w:hAnsi="Times New Roman"/>
          <w:b/>
          <w:lang w:val="ru-RU"/>
        </w:rPr>
      </w:pPr>
      <w:r w:rsidRPr="009F3D01">
        <w:rPr>
          <w:rFonts w:ascii="Times New Roman" w:hAnsi="Times New Roman"/>
          <w:b/>
          <w:lang w:val="ru-RU"/>
        </w:rPr>
        <w:t xml:space="preserve">453839, </w:t>
      </w:r>
      <w:r w:rsidR="00DD545B" w:rsidRPr="009F3D01">
        <w:rPr>
          <w:rFonts w:ascii="Times New Roman" w:hAnsi="Times New Roman"/>
          <w:b/>
          <w:lang w:val="ru-RU"/>
        </w:rPr>
        <w:t>РФ</w:t>
      </w:r>
      <w:r w:rsidRPr="009F3D01">
        <w:rPr>
          <w:rFonts w:ascii="Times New Roman" w:hAnsi="Times New Roman"/>
          <w:b/>
          <w:lang w:val="ru-RU"/>
        </w:rPr>
        <w:t xml:space="preserve">, Республика Башкортостан, город Сибай, </w:t>
      </w:r>
    </w:p>
    <w:p w14:paraId="3FCC4F59" w14:textId="77777777" w:rsidR="00DD545B" w:rsidRPr="009F3D01" w:rsidRDefault="00A565AD" w:rsidP="00DD545B">
      <w:pPr>
        <w:jc w:val="right"/>
        <w:rPr>
          <w:rFonts w:ascii="Times New Roman" w:hAnsi="Times New Roman"/>
          <w:b/>
          <w:lang w:val="ru-RU"/>
        </w:rPr>
      </w:pPr>
      <w:r w:rsidRPr="009F3D01">
        <w:rPr>
          <w:rFonts w:ascii="Times New Roman" w:hAnsi="Times New Roman"/>
          <w:b/>
          <w:lang w:val="ru-RU"/>
        </w:rPr>
        <w:t xml:space="preserve">ул. Куйбышева д.20, офис 32 </w:t>
      </w:r>
    </w:p>
    <w:p w14:paraId="1C0CD47D" w14:textId="77777777" w:rsidR="00223DD0" w:rsidRPr="009F3D01" w:rsidRDefault="00223DD0" w:rsidP="00DD545B">
      <w:pPr>
        <w:jc w:val="right"/>
        <w:rPr>
          <w:rFonts w:ascii="Times New Roman" w:hAnsi="Times New Roman"/>
          <w:b/>
          <w:lang w:val="ru-RU"/>
        </w:rPr>
      </w:pPr>
      <w:r w:rsidRPr="009F3D01">
        <w:rPr>
          <w:rFonts w:ascii="Times New Roman" w:hAnsi="Times New Roman"/>
          <w:b/>
          <w:lang w:val="ru-RU"/>
        </w:rPr>
        <w:t xml:space="preserve">тел./факс: </w:t>
      </w:r>
      <w:r w:rsidR="00A565AD" w:rsidRPr="009F3D01">
        <w:rPr>
          <w:rFonts w:ascii="Times New Roman" w:hAnsi="Times New Roman"/>
          <w:b/>
          <w:lang w:val="ru-RU"/>
        </w:rPr>
        <w:t>8</w:t>
      </w:r>
      <w:r w:rsidRPr="009F3D01">
        <w:rPr>
          <w:rFonts w:ascii="Times New Roman" w:hAnsi="Times New Roman"/>
          <w:b/>
          <w:lang w:val="ru-RU"/>
        </w:rPr>
        <w:t xml:space="preserve">(347) </w:t>
      </w:r>
      <w:r w:rsidR="00A565AD" w:rsidRPr="009F3D01">
        <w:rPr>
          <w:rFonts w:ascii="Times New Roman" w:hAnsi="Times New Roman"/>
          <w:b/>
          <w:lang w:val="ru-RU"/>
        </w:rPr>
        <w:t>5-93-98</w:t>
      </w:r>
      <w:r w:rsidRPr="009F3D01">
        <w:rPr>
          <w:rFonts w:ascii="Times New Roman" w:hAnsi="Times New Roman"/>
          <w:b/>
          <w:lang w:val="ru-RU"/>
        </w:rPr>
        <w:t xml:space="preserve">, </w:t>
      </w:r>
      <w:r w:rsidR="00A565AD" w:rsidRPr="009F3D01">
        <w:rPr>
          <w:rFonts w:ascii="Times New Roman" w:hAnsi="Times New Roman"/>
          <w:b/>
          <w:lang w:val="ru-RU"/>
        </w:rPr>
        <w:t>8 9603833066</w:t>
      </w:r>
      <w:r w:rsidRPr="009F3D01">
        <w:rPr>
          <w:rFonts w:ascii="Times New Roman" w:hAnsi="Times New Roman"/>
          <w:b/>
          <w:lang w:val="ru-RU"/>
        </w:rPr>
        <w:t xml:space="preserve">, </w:t>
      </w:r>
      <w:r w:rsidR="00A565AD" w:rsidRPr="009F3D01">
        <w:rPr>
          <w:rFonts w:ascii="Times New Roman" w:hAnsi="Times New Roman"/>
          <w:b/>
          <w:lang w:val="ru-RU"/>
        </w:rPr>
        <w:t>89603924255</w:t>
      </w:r>
    </w:p>
    <w:p w14:paraId="33407A01" w14:textId="77777777" w:rsidR="00223DD0" w:rsidRPr="0024792D" w:rsidRDefault="00223DD0" w:rsidP="00DD545B">
      <w:pPr>
        <w:jc w:val="right"/>
        <w:rPr>
          <w:rFonts w:ascii="Times New Roman" w:hAnsi="Times New Roman"/>
          <w:b/>
          <w:lang w:val="ru-RU"/>
        </w:rPr>
      </w:pPr>
      <w:r w:rsidRPr="009F3D01">
        <w:rPr>
          <w:rFonts w:ascii="Times New Roman" w:hAnsi="Times New Roman"/>
          <w:b/>
        </w:rPr>
        <w:t>e</w:t>
      </w:r>
      <w:r w:rsidRPr="0024792D">
        <w:rPr>
          <w:rFonts w:ascii="Times New Roman" w:hAnsi="Times New Roman"/>
          <w:b/>
          <w:lang w:val="ru-RU"/>
        </w:rPr>
        <w:t>-</w:t>
      </w:r>
      <w:r w:rsidRPr="009F3D01">
        <w:rPr>
          <w:rFonts w:ascii="Times New Roman" w:hAnsi="Times New Roman"/>
          <w:b/>
        </w:rPr>
        <w:t>mail</w:t>
      </w:r>
      <w:r w:rsidRPr="0024792D">
        <w:rPr>
          <w:rFonts w:ascii="Times New Roman" w:hAnsi="Times New Roman"/>
          <w:b/>
          <w:lang w:val="ru-RU"/>
        </w:rPr>
        <w:t>:</w:t>
      </w:r>
      <w:r w:rsidR="00A565AD" w:rsidRPr="0024792D">
        <w:rPr>
          <w:rFonts w:ascii="Times New Roman" w:hAnsi="Times New Roman"/>
          <w:b/>
          <w:sz w:val="26"/>
          <w:szCs w:val="26"/>
          <w:lang w:val="ru-RU"/>
        </w:rPr>
        <w:t xml:space="preserve"> </w:t>
      </w:r>
      <w:r w:rsidR="00A565AD" w:rsidRPr="009F3D01">
        <w:rPr>
          <w:rFonts w:ascii="Times New Roman" w:hAnsi="Times New Roman"/>
          <w:b/>
          <w:sz w:val="26"/>
          <w:szCs w:val="26"/>
        </w:rPr>
        <w:t>gorgazneft</w:t>
      </w:r>
      <w:r w:rsidR="00A565AD" w:rsidRPr="0024792D">
        <w:rPr>
          <w:rFonts w:ascii="Times New Roman" w:hAnsi="Times New Roman"/>
          <w:b/>
          <w:sz w:val="26"/>
          <w:szCs w:val="26"/>
          <w:lang w:val="ru-RU"/>
        </w:rPr>
        <w:t>@</w:t>
      </w:r>
      <w:r w:rsidR="00A565AD" w:rsidRPr="009F3D01">
        <w:rPr>
          <w:rFonts w:ascii="Times New Roman" w:hAnsi="Times New Roman"/>
          <w:b/>
          <w:sz w:val="26"/>
          <w:szCs w:val="26"/>
        </w:rPr>
        <w:t>mail</w:t>
      </w:r>
      <w:r w:rsidR="00A565AD" w:rsidRPr="0024792D">
        <w:rPr>
          <w:rFonts w:ascii="Times New Roman" w:hAnsi="Times New Roman"/>
          <w:b/>
          <w:sz w:val="26"/>
          <w:szCs w:val="26"/>
          <w:lang w:val="ru-RU"/>
        </w:rPr>
        <w:t>.</w:t>
      </w:r>
      <w:r w:rsidR="00A565AD" w:rsidRPr="009F3D01">
        <w:rPr>
          <w:rFonts w:ascii="Times New Roman" w:hAnsi="Times New Roman"/>
          <w:b/>
          <w:sz w:val="26"/>
          <w:szCs w:val="26"/>
        </w:rPr>
        <w:t>ru</w:t>
      </w:r>
    </w:p>
    <w:p w14:paraId="4B9553DA" w14:textId="77777777" w:rsidR="00223DD0" w:rsidRPr="009F3D01" w:rsidRDefault="00223DD0" w:rsidP="00DD545B">
      <w:pPr>
        <w:jc w:val="right"/>
        <w:rPr>
          <w:rFonts w:ascii="Times New Roman" w:hAnsi="Times New Roman"/>
          <w:b/>
          <w:lang w:val="ru-RU"/>
        </w:rPr>
      </w:pPr>
      <w:r w:rsidRPr="009F3D01">
        <w:rPr>
          <w:rFonts w:ascii="Times New Roman" w:hAnsi="Times New Roman"/>
          <w:b/>
          <w:lang w:val="ru-RU"/>
        </w:rPr>
        <w:t>Р/сч</w:t>
      </w:r>
      <w:r w:rsidR="00A565AD" w:rsidRPr="009F3D01">
        <w:rPr>
          <w:rFonts w:ascii="Times New Roman" w:hAnsi="Times New Roman"/>
          <w:b/>
          <w:lang w:val="ru-RU"/>
        </w:rPr>
        <w:t xml:space="preserve"> 40703810880690000003</w:t>
      </w:r>
      <w:r w:rsidRPr="009F3D01">
        <w:rPr>
          <w:rFonts w:ascii="Times New Roman" w:hAnsi="Times New Roman"/>
          <w:b/>
          <w:lang w:val="ru-RU"/>
        </w:rPr>
        <w:t xml:space="preserve">, к/сч </w:t>
      </w:r>
      <w:r w:rsidR="00A565AD" w:rsidRPr="009F3D01">
        <w:rPr>
          <w:rFonts w:ascii="Times New Roman" w:hAnsi="Times New Roman"/>
          <w:b/>
          <w:lang w:val="ru-RU"/>
        </w:rPr>
        <w:t>30101810200000000593</w:t>
      </w:r>
    </w:p>
    <w:p w14:paraId="3ABEA3B8" w14:textId="77777777" w:rsidR="00223DD0" w:rsidRPr="009F3D01" w:rsidRDefault="00223DD0" w:rsidP="00DD545B">
      <w:pPr>
        <w:pBdr>
          <w:bottom w:val="single" w:sz="12" w:space="5" w:color="auto"/>
        </w:pBdr>
        <w:jc w:val="right"/>
        <w:rPr>
          <w:rFonts w:ascii="Times New Roman" w:hAnsi="Times New Roman"/>
          <w:b/>
          <w:lang w:val="ru-RU"/>
        </w:rPr>
      </w:pPr>
      <w:r w:rsidRPr="009F3D01">
        <w:rPr>
          <w:rFonts w:ascii="Times New Roman" w:hAnsi="Times New Roman"/>
          <w:b/>
          <w:lang w:val="ru-RU"/>
        </w:rPr>
        <w:t>БИК</w:t>
      </w:r>
      <w:r w:rsidR="00A565AD" w:rsidRPr="009F3D01">
        <w:rPr>
          <w:rFonts w:ascii="Times New Roman" w:hAnsi="Times New Roman"/>
          <w:b/>
          <w:lang w:val="ru-RU"/>
        </w:rPr>
        <w:t xml:space="preserve"> </w:t>
      </w:r>
      <w:r w:rsidR="008303B7" w:rsidRPr="009F3D01">
        <w:rPr>
          <w:rFonts w:ascii="Times New Roman" w:hAnsi="Times New Roman"/>
          <w:b/>
          <w:lang w:val="ru-RU"/>
        </w:rPr>
        <w:t>044525593,</w:t>
      </w:r>
      <w:r w:rsidR="00A565AD" w:rsidRPr="009F3D01">
        <w:rPr>
          <w:rFonts w:ascii="Times New Roman" w:hAnsi="Times New Roman"/>
          <w:b/>
          <w:lang w:val="ru-RU"/>
        </w:rPr>
        <w:t xml:space="preserve"> АО "АЛЬФА-БАНК"</w:t>
      </w:r>
    </w:p>
    <w:p w14:paraId="3E9B954C" w14:textId="77777777" w:rsidR="00223DD0" w:rsidRPr="009F3D01" w:rsidRDefault="00223DD0" w:rsidP="00DD545B">
      <w:pPr>
        <w:pBdr>
          <w:bottom w:val="single" w:sz="12" w:space="5" w:color="auto"/>
        </w:pBdr>
        <w:jc w:val="right"/>
        <w:rPr>
          <w:rFonts w:ascii="Times New Roman" w:hAnsi="Times New Roman"/>
          <w:lang w:val="ru-RU"/>
        </w:rPr>
      </w:pPr>
      <w:r w:rsidRPr="009F3D01">
        <w:rPr>
          <w:rFonts w:ascii="Times New Roman" w:hAnsi="Times New Roman"/>
          <w:b/>
          <w:lang w:val="ru-RU"/>
        </w:rPr>
        <w:t xml:space="preserve">ОКПО </w:t>
      </w:r>
      <w:r w:rsidR="00A565AD" w:rsidRPr="009F3D01">
        <w:rPr>
          <w:rFonts w:ascii="Times New Roman" w:hAnsi="Times New Roman"/>
          <w:b/>
          <w:lang w:val="ru-RU"/>
        </w:rPr>
        <w:t>85507143</w:t>
      </w:r>
      <w:r w:rsidRPr="009F3D01">
        <w:rPr>
          <w:rFonts w:ascii="Times New Roman" w:hAnsi="Times New Roman"/>
          <w:b/>
          <w:lang w:val="ru-RU"/>
        </w:rPr>
        <w:t xml:space="preserve">, ИНН </w:t>
      </w:r>
      <w:r w:rsidR="00A565AD" w:rsidRPr="009F3D01">
        <w:rPr>
          <w:rFonts w:ascii="Times New Roman" w:hAnsi="Times New Roman"/>
          <w:b/>
          <w:lang w:val="ru-RU"/>
        </w:rPr>
        <w:t>0268104892</w:t>
      </w:r>
      <w:r w:rsidRPr="009F3D01">
        <w:rPr>
          <w:rFonts w:ascii="Times New Roman" w:hAnsi="Times New Roman"/>
          <w:b/>
          <w:lang w:val="ru-RU"/>
        </w:rPr>
        <w:t xml:space="preserve"> КПП </w:t>
      </w:r>
      <w:r w:rsidR="00A565AD" w:rsidRPr="009F3D01">
        <w:rPr>
          <w:rFonts w:ascii="Times New Roman" w:hAnsi="Times New Roman"/>
          <w:b/>
          <w:lang w:val="ru-RU"/>
        </w:rPr>
        <w:t>026801001</w:t>
      </w:r>
    </w:p>
    <w:p w14:paraId="71BB5B13" w14:textId="77777777" w:rsidR="00223DD0" w:rsidRDefault="00223DD0" w:rsidP="009F3D01">
      <w:pPr>
        <w:jc w:val="right"/>
        <w:rPr>
          <w:rFonts w:ascii="Times New Roman" w:hAnsi="Times New Roman"/>
          <w:sz w:val="12"/>
          <w:szCs w:val="12"/>
          <w:lang w:val="ru-RU"/>
        </w:rPr>
      </w:pPr>
    </w:p>
    <w:tbl>
      <w:tblPr>
        <w:tblpPr w:leftFromText="180" w:rightFromText="180" w:vertAnchor="text" w:horzAnchor="margin" w:tblpXSpec="right" w:tblpY="36"/>
        <w:tblW w:w="5152" w:type="dxa"/>
        <w:tblLayout w:type="fixed"/>
        <w:tblCellMar>
          <w:left w:w="71" w:type="dxa"/>
          <w:right w:w="71" w:type="dxa"/>
        </w:tblCellMar>
        <w:tblLook w:val="0000" w:firstRow="0" w:lastRow="0" w:firstColumn="0" w:lastColumn="0" w:noHBand="0" w:noVBand="0"/>
      </w:tblPr>
      <w:tblGrid>
        <w:gridCol w:w="5152"/>
      </w:tblGrid>
      <w:tr w:rsidR="00732CE2" w:rsidRPr="0024792D" w14:paraId="6B507077" w14:textId="77777777" w:rsidTr="00732CE2">
        <w:trPr>
          <w:cantSplit/>
          <w:trHeight w:val="342"/>
        </w:trPr>
        <w:tc>
          <w:tcPr>
            <w:tcW w:w="5152" w:type="dxa"/>
            <w:vMerge w:val="restart"/>
            <w:vAlign w:val="center"/>
          </w:tcPr>
          <w:p w14:paraId="3BA1D945" w14:textId="77777777" w:rsidR="00732CE2" w:rsidRPr="00732CE2" w:rsidRDefault="00732CE2" w:rsidP="00732CE2">
            <w:pPr>
              <w:jc w:val="center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732CE2">
              <w:rPr>
                <w:rFonts w:ascii="Times New Roman" w:hAnsi="Times New Roman"/>
                <w:sz w:val="28"/>
                <w:szCs w:val="28"/>
                <w:lang w:val="ru-RU"/>
              </w:rPr>
              <w:t>Генеральному директору</w:t>
            </w:r>
          </w:p>
          <w:p w14:paraId="4B18FF29" w14:textId="31000C00" w:rsidR="00732CE2" w:rsidRPr="00732CE2" w:rsidRDefault="007A3DD7" w:rsidP="00732CE2">
            <w:pPr>
              <w:jc w:val="center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7A3DD7">
              <w:rPr>
                <w:rFonts w:ascii="Times New Roman" w:hAnsi="Times New Roman"/>
                <w:sz w:val="28"/>
                <w:szCs w:val="28"/>
                <w:lang w:val="ru-RU"/>
              </w:rPr>
              <w:t>АО «</w:t>
            </w:r>
            <w:r w:rsidR="0024792D">
              <w:rPr>
                <w:rFonts w:ascii="Times New Roman" w:hAnsi="Times New Roman"/>
                <w:sz w:val="28"/>
                <w:szCs w:val="28"/>
                <w:lang w:val="ru-RU"/>
              </w:rPr>
              <w:t>УГМК</w:t>
            </w:r>
            <w:r w:rsidRPr="007A3DD7">
              <w:rPr>
                <w:rFonts w:ascii="Times New Roman" w:hAnsi="Times New Roman"/>
                <w:sz w:val="28"/>
                <w:szCs w:val="28"/>
                <w:lang w:val="ru-RU"/>
              </w:rPr>
              <w:t>»</w:t>
            </w:r>
          </w:p>
          <w:p w14:paraId="2E7FDBEA" w14:textId="77777777" w:rsidR="007A3DD7" w:rsidRDefault="007A3DD7" w:rsidP="00732CE2">
            <w:pPr>
              <w:jc w:val="center"/>
              <w:rPr>
                <w:rFonts w:ascii="Times New Roman" w:hAnsi="Times New Roman"/>
                <w:sz w:val="28"/>
                <w:szCs w:val="28"/>
                <w:lang w:val="ru-RU"/>
              </w:rPr>
            </w:pPr>
          </w:p>
          <w:p w14:paraId="4900F1E0" w14:textId="77777777" w:rsidR="007A3DD7" w:rsidRPr="007A3DD7" w:rsidRDefault="007A3DD7" w:rsidP="007A3DD7">
            <w:pPr>
              <w:jc w:val="center"/>
              <w:rPr>
                <w:rFonts w:ascii="Times New Roman" w:hAnsi="Times New Roman"/>
                <w:sz w:val="28"/>
                <w:szCs w:val="28"/>
                <w:lang w:val="ru-RU"/>
              </w:rPr>
            </w:pPr>
          </w:p>
          <w:p w14:paraId="444BF418" w14:textId="5C3234BC" w:rsidR="007A3DD7" w:rsidRPr="007A3DD7" w:rsidRDefault="0024792D" w:rsidP="007A3DD7">
            <w:pPr>
              <w:jc w:val="center"/>
              <w:rPr>
                <w:rFonts w:ascii="Times New Roman" w:hAnsi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sz w:val="28"/>
                <w:szCs w:val="28"/>
                <w:lang w:val="ru-RU"/>
              </w:rPr>
              <w:t>Плотникову А.М.</w:t>
            </w:r>
          </w:p>
          <w:p w14:paraId="30E00EC4" w14:textId="77777777" w:rsidR="007A3DD7" w:rsidRPr="007A3DD7" w:rsidRDefault="007A3DD7" w:rsidP="007A3DD7">
            <w:pPr>
              <w:jc w:val="center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7A3DD7">
              <w:rPr>
                <w:rFonts w:ascii="Times New Roman" w:hAnsi="Times New Roman"/>
                <w:sz w:val="28"/>
                <w:szCs w:val="28"/>
                <w:lang w:val="ru-RU"/>
              </w:rPr>
              <w:t xml:space="preserve"> </w:t>
            </w:r>
          </w:p>
          <w:p w14:paraId="692C80A7" w14:textId="49B56A5A" w:rsidR="00732CE2" w:rsidRPr="00732CE2" w:rsidRDefault="00732CE2" w:rsidP="007A3DD7">
            <w:pPr>
              <w:jc w:val="center"/>
              <w:rPr>
                <w:sz w:val="28"/>
                <w:szCs w:val="28"/>
                <w:lang w:val="ru-RU"/>
              </w:rPr>
            </w:pPr>
          </w:p>
        </w:tc>
      </w:tr>
    </w:tbl>
    <w:p w14:paraId="618D1628" w14:textId="77777777" w:rsidR="00F3656A" w:rsidRDefault="00F3656A" w:rsidP="009F3D01">
      <w:pPr>
        <w:jc w:val="right"/>
        <w:rPr>
          <w:rFonts w:ascii="Times New Roman" w:hAnsi="Times New Roman"/>
          <w:sz w:val="12"/>
          <w:szCs w:val="12"/>
          <w:lang w:val="ru-RU"/>
        </w:rPr>
      </w:pPr>
    </w:p>
    <w:p w14:paraId="7C97F430" w14:textId="77777777" w:rsidR="00F3656A" w:rsidRPr="009F3D01" w:rsidRDefault="00F3656A" w:rsidP="009F3D01">
      <w:pPr>
        <w:jc w:val="right"/>
        <w:rPr>
          <w:rFonts w:ascii="Times New Roman" w:hAnsi="Times New Roman"/>
          <w:sz w:val="12"/>
          <w:szCs w:val="12"/>
          <w:lang w:val="ru-RU"/>
        </w:rPr>
      </w:pPr>
    </w:p>
    <w:p w14:paraId="6C7FD8B6" w14:textId="40342168" w:rsidR="00F3656A" w:rsidRDefault="00F3656A" w:rsidP="00F3656A">
      <w:pPr>
        <w:rPr>
          <w:rFonts w:ascii="Times New Roman" w:hAnsi="Times New Roman"/>
          <w:sz w:val="18"/>
          <w:szCs w:val="18"/>
          <w:lang w:val="ru-RU"/>
        </w:rPr>
      </w:pPr>
      <w:r w:rsidRPr="00F3656A">
        <w:rPr>
          <w:rFonts w:ascii="Times New Roman" w:hAnsi="Times New Roman"/>
          <w:sz w:val="18"/>
          <w:szCs w:val="18"/>
          <w:u w:val="single"/>
          <w:lang w:val="ru-RU"/>
        </w:rPr>
        <w:t xml:space="preserve">              Исх. № </w:t>
      </w:r>
      <w:r w:rsidR="00E92ACF">
        <w:rPr>
          <w:rFonts w:ascii="Times New Roman" w:hAnsi="Times New Roman"/>
          <w:sz w:val="18"/>
          <w:szCs w:val="18"/>
          <w:u w:val="single"/>
          <w:lang w:val="ru-RU"/>
        </w:rPr>
        <w:t xml:space="preserve"> 27</w:t>
      </w:r>
      <w:r w:rsidR="00D35724">
        <w:rPr>
          <w:rFonts w:ascii="Times New Roman" w:hAnsi="Times New Roman"/>
          <w:sz w:val="18"/>
          <w:szCs w:val="18"/>
          <w:u w:val="single"/>
          <w:lang w:val="ru-RU"/>
        </w:rPr>
        <w:t xml:space="preserve">        </w:t>
      </w:r>
      <w:r w:rsidR="00EF0959">
        <w:rPr>
          <w:rFonts w:ascii="Times New Roman" w:hAnsi="Times New Roman"/>
          <w:sz w:val="18"/>
          <w:szCs w:val="18"/>
          <w:u w:val="single"/>
          <w:lang w:val="ru-RU"/>
        </w:rPr>
        <w:t xml:space="preserve"> от  «</w:t>
      </w:r>
      <w:r w:rsidR="00D35724">
        <w:rPr>
          <w:rFonts w:ascii="Times New Roman" w:hAnsi="Times New Roman"/>
          <w:sz w:val="18"/>
          <w:szCs w:val="18"/>
          <w:u w:val="single"/>
          <w:lang w:val="ru-RU"/>
        </w:rPr>
        <w:t xml:space="preserve"> </w:t>
      </w:r>
      <w:r w:rsidR="00E92ACF">
        <w:rPr>
          <w:rFonts w:ascii="Times New Roman" w:hAnsi="Times New Roman"/>
          <w:sz w:val="18"/>
          <w:szCs w:val="18"/>
          <w:u w:val="single"/>
          <w:lang w:val="ru-RU"/>
        </w:rPr>
        <w:t>30</w:t>
      </w:r>
      <w:r w:rsidR="00D35724">
        <w:rPr>
          <w:rFonts w:ascii="Times New Roman" w:hAnsi="Times New Roman"/>
          <w:sz w:val="18"/>
          <w:szCs w:val="18"/>
          <w:u w:val="single"/>
          <w:lang w:val="ru-RU"/>
        </w:rPr>
        <w:t xml:space="preserve"> </w:t>
      </w:r>
      <w:r w:rsidR="00D66F76">
        <w:rPr>
          <w:rFonts w:ascii="Times New Roman" w:hAnsi="Times New Roman"/>
          <w:sz w:val="18"/>
          <w:szCs w:val="18"/>
          <w:u w:val="single"/>
          <w:lang w:val="ru-RU"/>
        </w:rPr>
        <w:t xml:space="preserve">» </w:t>
      </w:r>
      <w:r w:rsidR="00D35724">
        <w:rPr>
          <w:rFonts w:ascii="Times New Roman" w:hAnsi="Times New Roman"/>
          <w:sz w:val="18"/>
          <w:szCs w:val="18"/>
          <w:u w:val="single"/>
          <w:lang w:val="ru-RU"/>
        </w:rPr>
        <w:t xml:space="preserve">        </w:t>
      </w:r>
      <w:r w:rsidR="00E92ACF">
        <w:rPr>
          <w:rFonts w:ascii="Times New Roman" w:hAnsi="Times New Roman"/>
          <w:sz w:val="18"/>
          <w:szCs w:val="18"/>
          <w:u w:val="single"/>
          <w:lang w:val="ru-RU"/>
        </w:rPr>
        <w:t>06</w:t>
      </w:r>
      <w:r w:rsidR="00D35724">
        <w:rPr>
          <w:rFonts w:ascii="Times New Roman" w:hAnsi="Times New Roman"/>
          <w:sz w:val="18"/>
          <w:szCs w:val="18"/>
          <w:u w:val="single"/>
          <w:lang w:val="ru-RU"/>
        </w:rPr>
        <w:t xml:space="preserve">         </w:t>
      </w:r>
      <w:r w:rsidR="00D66F76">
        <w:rPr>
          <w:rFonts w:ascii="Times New Roman" w:hAnsi="Times New Roman"/>
          <w:sz w:val="18"/>
          <w:szCs w:val="18"/>
          <w:u w:val="single"/>
          <w:lang w:val="ru-RU"/>
        </w:rPr>
        <w:t xml:space="preserve"> </w:t>
      </w:r>
      <w:r w:rsidRPr="00F3656A">
        <w:rPr>
          <w:rFonts w:ascii="Times New Roman" w:hAnsi="Times New Roman"/>
          <w:sz w:val="18"/>
          <w:szCs w:val="18"/>
          <w:u w:val="single"/>
          <w:lang w:val="ru-RU"/>
        </w:rPr>
        <w:t xml:space="preserve"> 202</w:t>
      </w:r>
      <w:r w:rsidR="009B4D0A">
        <w:rPr>
          <w:rFonts w:ascii="Times New Roman" w:hAnsi="Times New Roman"/>
          <w:sz w:val="18"/>
          <w:szCs w:val="18"/>
          <w:u w:val="single"/>
          <w:lang w:val="ru-RU"/>
        </w:rPr>
        <w:t>6</w:t>
      </w:r>
      <w:r w:rsidRPr="00F3656A">
        <w:rPr>
          <w:rFonts w:ascii="Times New Roman" w:hAnsi="Times New Roman"/>
          <w:sz w:val="18"/>
          <w:szCs w:val="18"/>
          <w:lang w:val="ru-RU"/>
        </w:rPr>
        <w:t>г.</w:t>
      </w:r>
    </w:p>
    <w:p>
      <w:pPr>
        <w:spacing w:before="0" w:after="40" w:line="276" w:lineRule="auto"/>
        <w:jc w:val="both"/>
      </w:pPr>
    </w:p>
    <w:p>
      <w:pPr>
        <w:spacing w:before="120" w:after="40" w:line="276" w:lineRule="auto"/>
        <w:jc w:val="center"/>
      </w:pPr>
      <w:r>
        <w:rPr>
          <w:rFonts w:ascii="Times New Roman" w:hAnsi="Times New Roman"/>
          <w:b/>
          <w:i w:val="0"/>
          <w:color w:val="1F3A5F"/>
          <w:sz w:val="30"/>
        </w:rPr>
        <w:t>КОММЕРЧЕСКОЕ ПРЕДЛОЖЕНИЕ</w:t>
      </w:r>
    </w:p>
    <w:p>
      <w:pPr>
        <w:spacing w:before="0" w:after="280" w:line="276" w:lineRule="auto"/>
        <w:jc w:val="center"/>
      </w:pPr>
      <w:r>
        <w:rPr>
          <w:rFonts w:ascii="Times New Roman" w:hAnsi="Times New Roman"/>
          <w:b/>
          <w:i w:val="0"/>
          <w:sz w:val="24"/>
        </w:rPr>
        <w:t>на поставку лицензии программного комплекса «ПВ-Система»</w:t>
      </w:r>
    </w:p>
    <w:p>
      <w:pPr>
        <w:spacing w:before="0" w:after="160" w:line="276" w:lineRule="auto"/>
        <w:jc w:val="left"/>
      </w:pPr>
      <w:r>
        <w:rPr>
          <w:rFonts w:ascii="Times New Roman" w:hAnsi="Times New Roman"/>
          <w:b/>
          <w:i w:val="0"/>
          <w:sz w:val="24"/>
        </w:rPr>
        <w:t>Уважаемый Александр Михайлович!</w:t>
      </w:r>
    </w:p>
    <w:p>
      <w:pPr>
        <w:spacing w:before="0" w:after="1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Автономная некоммерческая организация ДПО «Учебный центр ГорГазНефть» предлагает предприятиям холдинга лицензионное соглашение на право использования программного комплекса «ПВ-Система» — отечественного решения для проектирования и расчёта систем вентиляции, противопожарного водоснабжения и планирования ликвидации аварий на рудниках и шахтах.</w:t>
      </w:r>
    </w:p>
    <w:p>
      <w:pPr>
        <w:spacing w:before="0" w:after="1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Комплекс разработан с учётом требований федеральных норм и правил в области промышленной безопасности и обеспечивает выполнение расчётов, предусмотренных приказами Ростехнадзора № 467 от 27.11.2020, № 505 от 08.12.2020 и № 520 от 11.12.2020, в части режимов проветривания рудников, противопожарной защиты и определения зон поражения при взрывах в горных выработках.</w:t>
      </w:r>
    </w:p>
    <w:p>
      <w:pPr>
        <w:spacing w:before="280" w:after="120" w:line="276" w:lineRule="auto"/>
        <w:jc w:val="left"/>
        <w:pBdr>
          <w:bottom w:val="single" w:sz="6" w:space="2" w:color="1F3A5F"/>
        </w:pBdr>
      </w:pPr>
      <w:r>
        <w:rPr>
          <w:rFonts w:ascii="Times New Roman" w:hAnsi="Times New Roman"/>
          <w:b/>
          <w:i w:val="0"/>
          <w:color w:val="1F3A5F"/>
          <w:sz w:val="26"/>
        </w:rPr>
        <w:t>1. Назначение комплекса</w:t>
      </w:r>
    </w:p>
    <w:p>
      <w:pPr>
        <w:spacing w:before="0" w:after="1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«ПВ-Система» — единая среда, в которой вентиляционная сеть рудника строится один раз и далее используется всеми расчётными модулями: воздухораспределением, аварийными режимами, противопожарным водоснабжением и планом ликвидации аварий. Это исключает расхождение исходных данных между разделами проекта и повторный ввод информации.</w:t>
      </w:r>
    </w:p>
    <w:p>
      <w:pPr>
        <w:spacing w:before="0" w:after="60" w:line="276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>Комплекс решает следующие задачи предприятия:</w:t>
      </w:r>
    </w:p>
    <w:p>
      <w:pPr>
        <w:spacing w:after="40" w:line="264" w:lineRule="auto"/>
        <w:ind w:left="510" w:hanging="255"/>
        <w:jc w:val="both"/>
      </w:pPr>
      <w:r>
        <w:rPr>
          <w:rFonts w:ascii="Times New Roman" w:hAnsi="Times New Roman"/>
          <w:sz w:val="24"/>
        </w:rPr>
        <w:t xml:space="preserve">— </w:t>
      </w:r>
      <w:r>
        <w:rPr>
          <w:rFonts w:ascii="Times New Roman" w:hAnsi="Times New Roman"/>
          <w:sz w:val="24"/>
        </w:rPr>
        <w:t>расчёт воздухораспределения и подбор вентиляционного оборудования;</w:t>
      </w:r>
    </w:p>
    <w:p>
      <w:pPr>
        <w:spacing w:after="40" w:line="264" w:lineRule="auto"/>
        <w:ind w:left="510" w:hanging="255"/>
        <w:jc w:val="both"/>
      </w:pPr>
      <w:r>
        <w:rPr>
          <w:rFonts w:ascii="Times New Roman" w:hAnsi="Times New Roman"/>
          <w:sz w:val="24"/>
        </w:rPr>
        <w:t xml:space="preserve">— </w:t>
      </w:r>
      <w:r>
        <w:rPr>
          <w:rFonts w:ascii="Times New Roman" w:hAnsi="Times New Roman"/>
          <w:sz w:val="24"/>
        </w:rPr>
        <w:t>определение требуемого количества воздуха по забоям и участкам;</w:t>
      </w:r>
    </w:p>
    <w:p>
      <w:pPr>
        <w:spacing w:after="40" w:line="264" w:lineRule="auto"/>
        <w:ind w:left="510" w:hanging="255"/>
        <w:jc w:val="both"/>
      </w:pPr>
      <w:r>
        <w:rPr>
          <w:rFonts w:ascii="Times New Roman" w:hAnsi="Times New Roman"/>
          <w:sz w:val="24"/>
        </w:rPr>
        <w:t xml:space="preserve">— </w:t>
      </w:r>
      <w:r>
        <w:rPr>
          <w:rFonts w:ascii="Times New Roman" w:hAnsi="Times New Roman"/>
          <w:sz w:val="24"/>
        </w:rPr>
        <w:t>моделирование аварийных режимов — пожара и взрыва;</w:t>
      </w:r>
    </w:p>
    <w:p>
      <w:pPr>
        <w:spacing w:after="40" w:line="264" w:lineRule="auto"/>
        <w:ind w:left="510" w:hanging="255"/>
        <w:jc w:val="both"/>
      </w:pPr>
      <w:r>
        <w:rPr>
          <w:rFonts w:ascii="Times New Roman" w:hAnsi="Times New Roman"/>
          <w:sz w:val="24"/>
        </w:rPr>
        <w:t xml:space="preserve">— </w:t>
      </w:r>
      <w:r>
        <w:rPr>
          <w:rFonts w:ascii="Times New Roman" w:hAnsi="Times New Roman"/>
          <w:sz w:val="24"/>
        </w:rPr>
        <w:t>гидравлический расчёт противопожарного трубопровода;</w:t>
      </w:r>
    </w:p>
    <w:p>
      <w:pPr>
        <w:spacing w:after="40" w:line="264" w:lineRule="auto"/>
        <w:ind w:left="510" w:hanging="255"/>
        <w:jc w:val="both"/>
      </w:pPr>
      <w:r>
        <w:rPr>
          <w:rFonts w:ascii="Times New Roman" w:hAnsi="Times New Roman"/>
          <w:sz w:val="24"/>
        </w:rPr>
        <w:t xml:space="preserve">— </w:t>
      </w:r>
      <w:r>
        <w:rPr>
          <w:rFonts w:ascii="Times New Roman" w:hAnsi="Times New Roman"/>
          <w:sz w:val="24"/>
        </w:rPr>
        <w:t>разработка и проверка планов ликвидации аварий;</w:t>
      </w:r>
    </w:p>
    <w:p>
      <w:pPr>
        <w:spacing w:after="40" w:line="264" w:lineRule="auto"/>
        <w:ind w:left="510" w:hanging="255"/>
        <w:jc w:val="both"/>
      </w:pPr>
      <w:r>
        <w:rPr>
          <w:rFonts w:ascii="Times New Roman" w:hAnsi="Times New Roman"/>
          <w:sz w:val="24"/>
        </w:rPr>
        <w:t xml:space="preserve">— </w:t>
      </w:r>
      <w:r>
        <w:rPr>
          <w:rFonts w:ascii="Times New Roman" w:hAnsi="Times New Roman"/>
          <w:sz w:val="24"/>
        </w:rPr>
        <w:t>расчёт маршрутов горноспасателей и времени выхода горнорабочих;</w:t>
      </w:r>
    </w:p>
    <w:p>
      <w:pPr>
        <w:spacing w:after="40" w:line="264" w:lineRule="auto"/>
        <w:ind w:left="510" w:hanging="255"/>
        <w:jc w:val="both"/>
      </w:pPr>
      <w:r>
        <w:rPr>
          <w:rFonts w:ascii="Times New Roman" w:hAnsi="Times New Roman"/>
          <w:sz w:val="24"/>
        </w:rPr>
        <w:t xml:space="preserve">— </w:t>
      </w:r>
      <w:r>
        <w:rPr>
          <w:rFonts w:ascii="Times New Roman" w:hAnsi="Times New Roman"/>
          <w:sz w:val="24"/>
        </w:rPr>
        <w:t>подготовка графической и табличной документации для проекта и экспертизы.</w:t>
      </w:r>
    </w:p>
    <w:p>
      <w:pPr>
        <w:spacing w:before="280" w:after="120" w:line="276" w:lineRule="auto"/>
        <w:jc w:val="left"/>
        <w:pBdr>
          <w:bottom w:val="single" w:sz="6" w:space="2" w:color="1F3A5F"/>
        </w:pBdr>
      </w:pPr>
      <w:r>
        <w:rPr>
          <w:rFonts w:ascii="Times New Roman" w:hAnsi="Times New Roman"/>
          <w:b/>
          <w:i w:val="0"/>
          <w:color w:val="1F3A5F"/>
          <w:sz w:val="26"/>
        </w:rPr>
        <w:t>2. Функциональные возможности</w:t>
      </w:r>
    </w:p>
    <w:p>
      <w:pPr>
        <w:spacing w:before="160" w:after="60" w:line="276" w:lineRule="auto"/>
        <w:jc w:val="left"/>
      </w:pPr>
      <w:r>
        <w:rPr>
          <w:rFonts w:ascii="Times New Roman" w:hAnsi="Times New Roman"/>
          <w:b/>
          <w:i w:val="0"/>
          <w:color w:val="1F3A5F"/>
          <w:sz w:val="24"/>
        </w:rPr>
        <w:t>2.1. Расчёт воздухораспределения</w:t>
      </w:r>
    </w:p>
    <w:p>
      <w:pPr>
        <w:spacing w:after="40" w:line="264" w:lineRule="auto"/>
        <w:ind w:left="510" w:hanging="255"/>
        <w:jc w:val="both"/>
      </w:pPr>
      <w:r>
        <w:rPr>
          <w:rFonts w:ascii="Times New Roman" w:hAnsi="Times New Roman"/>
          <w:sz w:val="24"/>
        </w:rPr>
        <w:t xml:space="preserve">— </w:t>
      </w:r>
      <w:r>
        <w:rPr>
          <w:rFonts w:ascii="Times New Roman" w:hAnsi="Times New Roman"/>
          <w:sz w:val="24"/>
        </w:rPr>
        <w:t>расчёт сети методом контурных расходов (МКР) на основе законов Кирхгофа с контролем сходимости по невязке депрессии и расхода;</w:t>
      </w:r>
    </w:p>
    <w:p>
      <w:pPr>
        <w:spacing w:after="40" w:line="264" w:lineRule="auto"/>
        <w:ind w:left="510" w:hanging="255"/>
        <w:jc w:val="both"/>
      </w:pPr>
      <w:r>
        <w:rPr>
          <w:rFonts w:ascii="Times New Roman" w:hAnsi="Times New Roman"/>
          <w:sz w:val="24"/>
        </w:rPr>
        <w:t xml:space="preserve">— </w:t>
      </w:r>
      <w:r>
        <w:rPr>
          <w:rFonts w:ascii="Times New Roman" w:hAnsi="Times New Roman"/>
          <w:sz w:val="24"/>
        </w:rPr>
        <w:t>учёт естественной тяги, тепловой депрессии и температурного режима выработок;</w:t>
      </w:r>
    </w:p>
    <w:p>
      <w:pPr>
        <w:spacing w:after="40" w:line="264" w:lineRule="auto"/>
        <w:ind w:left="510" w:hanging="255"/>
        <w:jc w:val="both"/>
      </w:pPr>
      <w:r>
        <w:rPr>
          <w:rFonts w:ascii="Times New Roman" w:hAnsi="Times New Roman"/>
          <w:sz w:val="24"/>
        </w:rPr>
        <w:t xml:space="preserve">— </w:t>
      </w:r>
      <w:r>
        <w:rPr>
          <w:rFonts w:ascii="Times New Roman" w:hAnsi="Times New Roman"/>
          <w:sz w:val="24"/>
        </w:rPr>
        <w:t>автоматический расчёт аэродинамического сопротивления по геометрии выработки, форме сечения и типу крепи;</w:t>
      </w:r>
    </w:p>
    <w:p>
      <w:pPr>
        <w:spacing w:after="40" w:line="264" w:lineRule="auto"/>
        <w:ind w:left="510" w:hanging="255"/>
        <w:jc w:val="both"/>
      </w:pPr>
      <w:r>
        <w:rPr>
          <w:rFonts w:ascii="Times New Roman" w:hAnsi="Times New Roman"/>
          <w:sz w:val="24"/>
        </w:rPr>
        <w:t xml:space="preserve">— </w:t>
      </w:r>
      <w:r>
        <w:rPr>
          <w:rFonts w:ascii="Times New Roman" w:hAnsi="Times New Roman"/>
          <w:sz w:val="24"/>
        </w:rPr>
        <w:t>работа вентиляторов в параллель, реверсивные режимы, регулирование углом установки лопаток;</w:t>
      </w:r>
    </w:p>
    <w:p>
      <w:pPr>
        <w:spacing w:after="40" w:line="264" w:lineRule="auto"/>
        <w:ind w:left="510" w:hanging="255"/>
        <w:jc w:val="both"/>
      </w:pPr>
      <w:r>
        <w:rPr>
          <w:rFonts w:ascii="Times New Roman" w:hAnsi="Times New Roman"/>
          <w:sz w:val="24"/>
        </w:rPr>
        <w:t xml:space="preserve">— </w:t>
      </w:r>
      <w:r>
        <w:rPr>
          <w:rFonts w:ascii="Times New Roman" w:hAnsi="Times New Roman"/>
          <w:sz w:val="24"/>
        </w:rPr>
        <w:t>построение депрессиограммы главного маршрута с выгрузкой в Excel.</w:t>
      </w:r>
    </w:p>
    <w:p>
      <w:pPr>
        <w:spacing w:before="160" w:after="60" w:line="276" w:lineRule="auto"/>
        <w:jc w:val="left"/>
      </w:pPr>
      <w:r>
        <w:rPr>
          <w:rFonts w:ascii="Times New Roman" w:hAnsi="Times New Roman"/>
          <w:b/>
          <w:i w:val="0"/>
          <w:color w:val="1F3A5F"/>
          <w:sz w:val="24"/>
        </w:rPr>
        <w:t>2.2. Расчёт количества воздуха (ФНиП № 505, п. 155)</w:t>
      </w:r>
    </w:p>
    <w:p>
      <w:pPr>
        <w:spacing w:after="40" w:line="264" w:lineRule="auto"/>
        <w:ind w:left="510" w:hanging="255"/>
        <w:jc w:val="both"/>
      </w:pPr>
      <w:r>
        <w:rPr>
          <w:rFonts w:ascii="Times New Roman" w:hAnsi="Times New Roman"/>
          <w:sz w:val="24"/>
        </w:rPr>
        <w:t xml:space="preserve">— </w:t>
      </w:r>
      <w:r>
        <w:rPr>
          <w:rFonts w:ascii="Times New Roman" w:hAnsi="Times New Roman"/>
          <w:sz w:val="24"/>
        </w:rPr>
        <w:t>позабойный расчёт с суммированием по участкам, блокам и панелям;</w:t>
      </w:r>
    </w:p>
    <w:p>
      <w:pPr>
        <w:spacing w:after="40" w:line="264" w:lineRule="auto"/>
        <w:ind w:left="510" w:hanging="255"/>
        <w:jc w:val="both"/>
      </w:pPr>
      <w:r>
        <w:rPr>
          <w:rFonts w:ascii="Times New Roman" w:hAnsi="Times New Roman"/>
          <w:sz w:val="24"/>
        </w:rPr>
        <w:t xml:space="preserve">— </w:t>
      </w:r>
      <w:r>
        <w:rPr>
          <w:rFonts w:ascii="Times New Roman" w:hAnsi="Times New Roman"/>
          <w:sz w:val="24"/>
        </w:rPr>
        <w:t>определение потребности по четырём факторам с выбором наибольшего: по числу людей, по газам взрывных работ, по дизельному оборудованию и по минимальной скорости движения воздуха;</w:t>
      </w:r>
    </w:p>
    <w:p>
      <w:pPr>
        <w:spacing w:after="40" w:line="264" w:lineRule="auto"/>
        <w:ind w:left="510" w:hanging="255"/>
        <w:jc w:val="both"/>
      </w:pPr>
      <w:r>
        <w:rPr>
          <w:rFonts w:ascii="Times New Roman" w:hAnsi="Times New Roman"/>
          <w:sz w:val="24"/>
        </w:rPr>
        <w:t xml:space="preserve">— </w:t>
      </w:r>
      <w:r>
        <w:rPr>
          <w:rFonts w:ascii="Times New Roman" w:hAnsi="Times New Roman"/>
          <w:sz w:val="24"/>
        </w:rPr>
        <w:t>проверка результата по минимальной и максимальной допустимым скоростям;</w:t>
      </w:r>
    </w:p>
    <w:p>
      <w:pPr>
        <w:spacing w:after="40" w:line="264" w:lineRule="auto"/>
        <w:ind w:left="510" w:hanging="255"/>
        <w:jc w:val="both"/>
      </w:pPr>
      <w:r>
        <w:rPr>
          <w:rFonts w:ascii="Times New Roman" w:hAnsi="Times New Roman"/>
          <w:sz w:val="24"/>
        </w:rPr>
        <w:t xml:space="preserve">— </w:t>
      </w:r>
      <w:r>
        <w:rPr>
          <w:rFonts w:ascii="Times New Roman" w:hAnsi="Times New Roman"/>
          <w:sz w:val="24"/>
        </w:rPr>
        <w:t>редактируемый справочник норм — предприятие может применять согласованные значения, в том числе сниженные нормы для современной дизельной техники;</w:t>
      </w:r>
    </w:p>
    <w:p>
      <w:pPr>
        <w:spacing w:after="40" w:line="264" w:lineRule="auto"/>
        <w:ind w:left="510" w:hanging="255"/>
        <w:jc w:val="both"/>
      </w:pPr>
      <w:r>
        <w:rPr>
          <w:rFonts w:ascii="Times New Roman" w:hAnsi="Times New Roman"/>
          <w:sz w:val="24"/>
        </w:rPr>
        <w:t xml:space="preserve">— </w:t>
      </w:r>
      <w:r>
        <w:rPr>
          <w:rFonts w:ascii="Times New Roman" w:hAnsi="Times New Roman"/>
          <w:sz w:val="24"/>
        </w:rPr>
        <w:t>сводная ведомость по руднику с итогами по участкам и выгрузкой в Excel с листом применённых норм.</w:t>
      </w:r>
    </w:p>
    <w:p>
      <w:pPr>
        <w:spacing w:before="160" w:after="60" w:line="276" w:lineRule="auto"/>
        <w:jc w:val="left"/>
      </w:pPr>
      <w:r>
        <w:rPr>
          <w:rFonts w:ascii="Times New Roman" w:hAnsi="Times New Roman"/>
          <w:b/>
          <w:i w:val="0"/>
          <w:color w:val="1F3A5F"/>
          <w:sz w:val="24"/>
        </w:rPr>
        <w:t>2.3. Аварийные режимы: пожар</w:t>
      </w:r>
    </w:p>
    <w:p>
      <w:pPr>
        <w:spacing w:after="40" w:line="264" w:lineRule="auto"/>
        <w:ind w:left="510" w:hanging="255"/>
        <w:jc w:val="both"/>
      </w:pPr>
      <w:r>
        <w:rPr>
          <w:rFonts w:ascii="Times New Roman" w:hAnsi="Times New Roman"/>
          <w:sz w:val="24"/>
        </w:rPr>
        <w:t xml:space="preserve">— </w:t>
      </w:r>
      <w:r>
        <w:rPr>
          <w:rFonts w:ascii="Times New Roman" w:hAnsi="Times New Roman"/>
          <w:sz w:val="24"/>
        </w:rPr>
        <w:t>расчёт мощности пожара по видам горючей нагрузки: самоходная техника, конвейерная лента, кабель, деревянная крепь, горюче-смазочные материалы;</w:t>
      </w:r>
    </w:p>
    <w:p>
      <w:pPr>
        <w:spacing w:after="40" w:line="264" w:lineRule="auto"/>
        <w:ind w:left="510" w:hanging="255"/>
        <w:jc w:val="both"/>
      </w:pPr>
      <w:r>
        <w:rPr>
          <w:rFonts w:ascii="Times New Roman" w:hAnsi="Times New Roman"/>
          <w:sz w:val="24"/>
        </w:rPr>
        <w:t xml:space="preserve">— </w:t>
      </w:r>
      <w:r>
        <w:rPr>
          <w:rFonts w:ascii="Times New Roman" w:hAnsi="Times New Roman"/>
          <w:sz w:val="24"/>
        </w:rPr>
        <w:t>определение температуры пожарных газов и их остывания по длине выработки с учётом теплоотдачи в массив;</w:t>
      </w:r>
    </w:p>
    <w:p>
      <w:pPr>
        <w:spacing w:after="40" w:line="264" w:lineRule="auto"/>
        <w:ind w:left="510" w:hanging="255"/>
        <w:jc w:val="both"/>
      </w:pPr>
      <w:r>
        <w:rPr>
          <w:rFonts w:ascii="Times New Roman" w:hAnsi="Times New Roman"/>
          <w:sz w:val="24"/>
        </w:rPr>
        <w:t xml:space="preserve">— </w:t>
      </w:r>
      <w:r>
        <w:rPr>
          <w:rFonts w:ascii="Times New Roman" w:hAnsi="Times New Roman"/>
          <w:sz w:val="24"/>
        </w:rPr>
        <w:t>расчёт тепловой депрессии и проверка устойчивости проветривания, определение критической депрессии опрокидывания вентиляционной струи;</w:t>
      </w:r>
    </w:p>
    <w:p>
      <w:pPr>
        <w:spacing w:after="40" w:line="264" w:lineRule="auto"/>
        <w:ind w:left="510" w:hanging="255"/>
        <w:jc w:val="both"/>
      </w:pPr>
      <w:r>
        <w:rPr>
          <w:rFonts w:ascii="Times New Roman" w:hAnsi="Times New Roman"/>
          <w:sz w:val="24"/>
        </w:rPr>
        <w:t xml:space="preserve">— </w:t>
      </w:r>
      <w:r>
        <w:rPr>
          <w:rFonts w:ascii="Times New Roman" w:hAnsi="Times New Roman"/>
          <w:sz w:val="24"/>
        </w:rPr>
        <w:t>распространение продуктов горения по сети: концентрации оксида и диоксида углерода, оптическая плотность дыма, дальность видимости;</w:t>
      </w:r>
    </w:p>
    <w:p>
      <w:pPr>
        <w:spacing w:after="40" w:line="264" w:lineRule="auto"/>
        <w:ind w:left="510" w:hanging="255"/>
        <w:jc w:val="both"/>
      </w:pPr>
      <w:r>
        <w:rPr>
          <w:rFonts w:ascii="Times New Roman" w:hAnsi="Times New Roman"/>
          <w:sz w:val="24"/>
        </w:rPr>
        <w:t xml:space="preserve">— </w:t>
      </w:r>
      <w:r>
        <w:rPr>
          <w:rFonts w:ascii="Times New Roman" w:hAnsi="Times New Roman"/>
          <w:sz w:val="24"/>
        </w:rPr>
        <w:t>формирование акта устойчивости вентиляционных режимов при пожаре.</w:t>
      </w:r>
    </w:p>
    <w:p>
      <w:pPr>
        <w:spacing w:before="160" w:after="60" w:line="276" w:lineRule="auto"/>
        <w:jc w:val="left"/>
      </w:pPr>
      <w:r>
        <w:rPr>
          <w:rFonts w:ascii="Times New Roman" w:hAnsi="Times New Roman"/>
          <w:b/>
          <w:i w:val="0"/>
          <w:color w:val="1F3A5F"/>
          <w:sz w:val="24"/>
        </w:rPr>
        <w:t>2.4. Аварийные режимы: взрыв</w:t>
      </w:r>
    </w:p>
    <w:p>
      <w:pPr>
        <w:spacing w:after="40" w:line="264" w:lineRule="auto"/>
        <w:ind w:left="510" w:hanging="255"/>
        <w:jc w:val="both"/>
      </w:pPr>
      <w:r>
        <w:rPr>
          <w:rFonts w:ascii="Times New Roman" w:hAnsi="Times New Roman"/>
          <w:sz w:val="24"/>
        </w:rPr>
        <w:t xml:space="preserve">— </w:t>
      </w:r>
      <w:r>
        <w:rPr>
          <w:rFonts w:ascii="Times New Roman" w:hAnsi="Times New Roman"/>
          <w:sz w:val="24"/>
        </w:rPr>
        <w:t>расчёт параметров взрыва газовоздушной смеси и взрывчатых веществ с приведением к тротиловому эквиваленту;</w:t>
      </w:r>
    </w:p>
    <w:p>
      <w:pPr>
        <w:spacing w:after="40" w:line="264" w:lineRule="auto"/>
        <w:ind w:left="510" w:hanging="255"/>
        <w:jc w:val="both"/>
      </w:pPr>
      <w:r>
        <w:rPr>
          <w:rFonts w:ascii="Times New Roman" w:hAnsi="Times New Roman"/>
          <w:sz w:val="24"/>
        </w:rPr>
        <w:t xml:space="preserve">— </w:t>
      </w:r>
      <w:r>
        <w:rPr>
          <w:rFonts w:ascii="Times New Roman" w:hAnsi="Times New Roman"/>
          <w:sz w:val="24"/>
        </w:rPr>
        <w:t>определение избыточного давления на фронте ударной волны, импульса и скорости распространения фронта;</w:t>
      </w:r>
    </w:p>
    <w:p>
      <w:pPr>
        <w:spacing w:after="40" w:line="264" w:lineRule="auto"/>
        <w:ind w:left="510" w:hanging="255"/>
        <w:jc w:val="both"/>
      </w:pPr>
      <w:r>
        <w:rPr>
          <w:rFonts w:ascii="Times New Roman" w:hAnsi="Times New Roman"/>
          <w:sz w:val="24"/>
        </w:rPr>
        <w:t xml:space="preserve">— </w:t>
      </w:r>
      <w:r>
        <w:rPr>
          <w:rFonts w:ascii="Times New Roman" w:hAnsi="Times New Roman"/>
          <w:sz w:val="24"/>
        </w:rPr>
        <w:t>построение зон поражения с градацией по степени тяжести;</w:t>
      </w:r>
    </w:p>
    <w:p>
      <w:pPr>
        <w:spacing w:after="40" w:line="264" w:lineRule="auto"/>
        <w:ind w:left="510" w:hanging="255"/>
        <w:jc w:val="both"/>
      </w:pPr>
      <w:r>
        <w:rPr>
          <w:rFonts w:ascii="Times New Roman" w:hAnsi="Times New Roman"/>
          <w:sz w:val="24"/>
        </w:rPr>
        <w:t xml:space="preserve">— </w:t>
      </w:r>
      <w:r>
        <w:rPr>
          <w:rFonts w:ascii="Times New Roman" w:hAnsi="Times New Roman"/>
          <w:sz w:val="24"/>
        </w:rPr>
        <w:t>проверка разрушения вентиляционных перемычек по предельному давлению.</w:t>
      </w:r>
    </w:p>
    <w:p>
      <w:pPr>
        <w:spacing w:before="160" w:after="60" w:line="276" w:lineRule="auto"/>
        <w:jc w:val="left"/>
      </w:pPr>
      <w:r>
        <w:rPr>
          <w:rFonts w:ascii="Times New Roman" w:hAnsi="Times New Roman"/>
          <w:b/>
          <w:i w:val="0"/>
          <w:color w:val="1F3A5F"/>
          <w:sz w:val="24"/>
        </w:rPr>
        <w:t>2.5. Противопожарное водоснабжение (ППЗ)</w:t>
      </w:r>
    </w:p>
    <w:p>
      <w:pPr>
        <w:spacing w:after="40" w:line="264" w:lineRule="auto"/>
        <w:ind w:left="510" w:hanging="255"/>
        <w:jc w:val="both"/>
      </w:pPr>
      <w:r>
        <w:rPr>
          <w:rFonts w:ascii="Times New Roman" w:hAnsi="Times New Roman"/>
          <w:sz w:val="24"/>
        </w:rPr>
        <w:t xml:space="preserve">— </w:t>
      </w:r>
      <w:r>
        <w:rPr>
          <w:rFonts w:ascii="Times New Roman" w:hAnsi="Times New Roman"/>
          <w:sz w:val="24"/>
        </w:rPr>
        <w:t>гидравлический расчёт трубопроводной сети с определением напора и расхода в каждой точке водоразбора;</w:t>
      </w:r>
    </w:p>
    <w:p>
      <w:pPr>
        <w:spacing w:after="40" w:line="264" w:lineRule="auto"/>
        <w:ind w:left="510" w:hanging="255"/>
        <w:jc w:val="both"/>
      </w:pPr>
      <w:r>
        <w:rPr>
          <w:rFonts w:ascii="Times New Roman" w:hAnsi="Times New Roman"/>
          <w:sz w:val="24"/>
        </w:rPr>
        <w:t xml:space="preserve">— </w:t>
      </w:r>
      <w:r>
        <w:rPr>
          <w:rFonts w:ascii="Times New Roman" w:hAnsi="Times New Roman"/>
          <w:sz w:val="24"/>
        </w:rPr>
        <w:t>подбор насосного оборудования по Q-H характеристике;</w:t>
      </w:r>
    </w:p>
    <w:p>
      <w:pPr>
        <w:spacing w:after="40" w:line="264" w:lineRule="auto"/>
        <w:ind w:left="510" w:hanging="255"/>
        <w:jc w:val="both"/>
      </w:pPr>
      <w:r>
        <w:rPr>
          <w:rFonts w:ascii="Times New Roman" w:hAnsi="Times New Roman"/>
          <w:sz w:val="24"/>
        </w:rPr>
        <w:t xml:space="preserve">— </w:t>
      </w:r>
      <w:r>
        <w:rPr>
          <w:rFonts w:ascii="Times New Roman" w:hAnsi="Times New Roman"/>
          <w:sz w:val="24"/>
        </w:rPr>
        <w:t>учёт редукционных клапанов и местных сопротивлений;</w:t>
      </w:r>
    </w:p>
    <w:p>
      <w:pPr>
        <w:spacing w:after="40" w:line="264" w:lineRule="auto"/>
        <w:ind w:left="510" w:hanging="255"/>
        <w:jc w:val="both"/>
      </w:pPr>
      <w:r>
        <w:rPr>
          <w:rFonts w:ascii="Times New Roman" w:hAnsi="Times New Roman"/>
          <w:sz w:val="24"/>
        </w:rPr>
        <w:t xml:space="preserve">— </w:t>
      </w:r>
      <w:r>
        <w:rPr>
          <w:rFonts w:ascii="Times New Roman" w:hAnsi="Times New Roman"/>
          <w:sz w:val="24"/>
        </w:rPr>
        <w:t>пакетная проверка сети с автоматическим поиском наиболее неблагоприятных точек;</w:t>
      </w:r>
    </w:p>
    <w:p>
      <w:pPr>
        <w:spacing w:after="40" w:line="264" w:lineRule="auto"/>
        <w:ind w:left="510" w:hanging="255"/>
        <w:jc w:val="both"/>
      </w:pPr>
      <w:r>
        <w:rPr>
          <w:rFonts w:ascii="Times New Roman" w:hAnsi="Times New Roman"/>
          <w:sz w:val="24"/>
        </w:rPr>
        <w:t xml:space="preserve">— </w:t>
      </w:r>
      <w:r>
        <w:rPr>
          <w:rFonts w:ascii="Times New Roman" w:hAnsi="Times New Roman"/>
          <w:sz w:val="24"/>
        </w:rPr>
        <w:t>проверка обеспеченности расчётного расхода на пожаротушение.</w:t>
      </w:r>
    </w:p>
    <w:p>
      <w:pPr>
        <w:spacing w:before="160" w:after="60" w:line="276" w:lineRule="auto"/>
        <w:jc w:val="left"/>
      </w:pPr>
      <w:r>
        <w:rPr>
          <w:rFonts w:ascii="Times New Roman" w:hAnsi="Times New Roman"/>
          <w:b/>
          <w:i w:val="0"/>
          <w:color w:val="1F3A5F"/>
          <w:sz w:val="24"/>
        </w:rPr>
        <w:t>2.6. Горноспасательные работы и вывод людей</w:t>
      </w:r>
    </w:p>
    <w:p>
      <w:pPr>
        <w:spacing w:after="40" w:line="264" w:lineRule="auto"/>
        <w:ind w:left="510" w:hanging="255"/>
        <w:jc w:val="both"/>
      </w:pPr>
      <w:r>
        <w:rPr>
          <w:rFonts w:ascii="Times New Roman" w:hAnsi="Times New Roman"/>
          <w:sz w:val="24"/>
        </w:rPr>
        <w:t xml:space="preserve">— </w:t>
      </w:r>
      <w:r>
        <w:rPr>
          <w:rFonts w:ascii="Times New Roman" w:hAnsi="Times New Roman"/>
          <w:sz w:val="24"/>
        </w:rPr>
        <w:t>прокладка маршрутов отделений ВГСЧ с учётом задымления выработок и скорости передвижения;</w:t>
      </w:r>
    </w:p>
    <w:p>
      <w:pPr>
        <w:spacing w:after="40" w:line="264" w:lineRule="auto"/>
        <w:ind w:left="510" w:hanging="255"/>
        <w:jc w:val="both"/>
      </w:pPr>
      <w:r>
        <w:rPr>
          <w:rFonts w:ascii="Times New Roman" w:hAnsi="Times New Roman"/>
          <w:sz w:val="24"/>
        </w:rPr>
        <w:t xml:space="preserve">— </w:t>
      </w:r>
      <w:r>
        <w:rPr>
          <w:rFonts w:ascii="Times New Roman" w:hAnsi="Times New Roman"/>
          <w:sz w:val="24"/>
        </w:rPr>
        <w:t>расчёт расхода кислорода дыхательного аппарата и контроль допустимого времени работы в непригодной для дыхания атмосфере;</w:t>
      </w:r>
    </w:p>
    <w:p>
      <w:pPr>
        <w:spacing w:after="40" w:line="264" w:lineRule="auto"/>
        <w:ind w:left="510" w:hanging="255"/>
        <w:jc w:val="both"/>
      </w:pPr>
      <w:r>
        <w:rPr>
          <w:rFonts w:ascii="Times New Roman" w:hAnsi="Times New Roman"/>
          <w:sz w:val="24"/>
        </w:rPr>
        <w:t xml:space="preserve">— </w:t>
      </w:r>
      <w:r>
        <w:rPr>
          <w:rFonts w:ascii="Times New Roman" w:hAnsi="Times New Roman"/>
          <w:sz w:val="24"/>
        </w:rPr>
        <w:t>режимы разведки, транспортировки пострадавшего и ликвидации аварии;</w:t>
      </w:r>
    </w:p>
    <w:p>
      <w:pPr>
        <w:spacing w:after="40" w:line="264" w:lineRule="auto"/>
        <w:ind w:left="510" w:hanging="255"/>
        <w:jc w:val="both"/>
      </w:pPr>
      <w:r>
        <w:rPr>
          <w:rFonts w:ascii="Times New Roman" w:hAnsi="Times New Roman"/>
          <w:sz w:val="24"/>
        </w:rPr>
        <w:t xml:space="preserve">— </w:t>
      </w:r>
      <w:r>
        <w:rPr>
          <w:rFonts w:ascii="Times New Roman" w:hAnsi="Times New Roman"/>
          <w:sz w:val="24"/>
        </w:rPr>
        <w:t>определение зоны задымления и списка людей, попадающих в неё;</w:t>
      </w:r>
    </w:p>
    <w:p>
      <w:pPr>
        <w:spacing w:after="40" w:line="264" w:lineRule="auto"/>
        <w:ind w:left="510" w:hanging="255"/>
        <w:jc w:val="both"/>
      </w:pPr>
      <w:r>
        <w:rPr>
          <w:rFonts w:ascii="Times New Roman" w:hAnsi="Times New Roman"/>
          <w:sz w:val="24"/>
        </w:rPr>
        <w:t xml:space="preserve">— </w:t>
      </w:r>
      <w:r>
        <w:rPr>
          <w:rFonts w:ascii="Times New Roman" w:hAnsi="Times New Roman"/>
          <w:sz w:val="24"/>
        </w:rPr>
        <w:t>проверка достаточности времени защитного действия самоспасателя и обоснование мест размещения пунктов переключения.</w:t>
      </w:r>
    </w:p>
    <w:p>
      <w:pPr>
        <w:spacing w:before="160" w:after="60" w:line="276" w:lineRule="auto"/>
        <w:jc w:val="left"/>
      </w:pPr>
      <w:r>
        <w:rPr>
          <w:rFonts w:ascii="Times New Roman" w:hAnsi="Times New Roman"/>
          <w:b/>
          <w:i w:val="0"/>
          <w:color w:val="1F3A5F"/>
          <w:sz w:val="24"/>
        </w:rPr>
        <w:t>2.7. План ликвидации аварий</w:t>
      </w:r>
    </w:p>
    <w:p>
      <w:pPr>
        <w:spacing w:after="40" w:line="264" w:lineRule="auto"/>
        <w:ind w:left="510" w:hanging="255"/>
        <w:jc w:val="both"/>
      </w:pPr>
      <w:r>
        <w:rPr>
          <w:rFonts w:ascii="Times New Roman" w:hAnsi="Times New Roman"/>
          <w:sz w:val="24"/>
        </w:rPr>
        <w:t xml:space="preserve">— </w:t>
      </w:r>
      <w:r>
        <w:rPr>
          <w:rFonts w:ascii="Times New Roman" w:hAnsi="Times New Roman"/>
          <w:sz w:val="24"/>
        </w:rPr>
        <w:t>нанесение позиций ПЛА с привязкой к выработкам, выносками и условными обозначениями;</w:t>
      </w:r>
    </w:p>
    <w:p>
      <w:pPr>
        <w:spacing w:after="40" w:line="264" w:lineRule="auto"/>
        <w:ind w:left="510" w:hanging="255"/>
        <w:jc w:val="both"/>
      </w:pPr>
      <w:r>
        <w:rPr>
          <w:rFonts w:ascii="Times New Roman" w:hAnsi="Times New Roman"/>
          <w:sz w:val="24"/>
        </w:rPr>
        <w:t xml:space="preserve">— </w:t>
      </w:r>
      <w:r>
        <w:rPr>
          <w:rFonts w:ascii="Times New Roman" w:hAnsi="Times New Roman"/>
          <w:sz w:val="24"/>
        </w:rPr>
        <w:t>нормальные и реверсивные позиции, сценарии и режимы проветривания;</w:t>
      </w:r>
    </w:p>
    <w:p>
      <w:pPr>
        <w:spacing w:after="40" w:line="264" w:lineRule="auto"/>
        <w:ind w:left="510" w:hanging="255"/>
        <w:jc w:val="both"/>
      </w:pPr>
      <w:r>
        <w:rPr>
          <w:rFonts w:ascii="Times New Roman" w:hAnsi="Times New Roman"/>
          <w:sz w:val="24"/>
        </w:rPr>
        <w:t xml:space="preserve">— </w:t>
      </w:r>
      <w:r>
        <w:rPr>
          <w:rFonts w:ascii="Times New Roman" w:hAnsi="Times New Roman"/>
          <w:sz w:val="24"/>
        </w:rPr>
        <w:t>прикрепление к позиции файлов мероприятий;</w:t>
      </w:r>
    </w:p>
    <w:p>
      <w:pPr>
        <w:spacing w:after="40" w:line="264" w:lineRule="auto"/>
        <w:ind w:left="510" w:hanging="255"/>
        <w:jc w:val="both"/>
      </w:pPr>
      <w:r>
        <w:rPr>
          <w:rFonts w:ascii="Times New Roman" w:hAnsi="Times New Roman"/>
          <w:sz w:val="24"/>
        </w:rPr>
        <w:t xml:space="preserve">— </w:t>
      </w:r>
      <w:r>
        <w:rPr>
          <w:rFonts w:ascii="Times New Roman" w:hAnsi="Times New Roman"/>
          <w:sz w:val="24"/>
        </w:rPr>
        <w:t>справочники датчиков и типовых мероприятий ПЛА.</w:t>
      </w:r>
    </w:p>
    <w:p>
      <w:pPr>
        <w:spacing w:before="160" w:after="60" w:line="276" w:lineRule="auto"/>
        <w:jc w:val="left"/>
      </w:pPr>
      <w:r>
        <w:rPr>
          <w:rFonts w:ascii="Times New Roman" w:hAnsi="Times New Roman"/>
          <w:b/>
          <w:i w:val="0"/>
          <w:color w:val="1F3A5F"/>
          <w:sz w:val="24"/>
        </w:rPr>
        <w:t>2.8. Схема, визуализация и документация</w:t>
      </w:r>
    </w:p>
    <w:p>
      <w:pPr>
        <w:spacing w:after="40" w:line="264" w:lineRule="auto"/>
        <w:ind w:left="510" w:hanging="255"/>
        <w:jc w:val="both"/>
      </w:pPr>
      <w:r>
        <w:rPr>
          <w:rFonts w:ascii="Times New Roman" w:hAnsi="Times New Roman"/>
          <w:sz w:val="24"/>
        </w:rPr>
        <w:t xml:space="preserve">— </w:t>
      </w:r>
      <w:r>
        <w:rPr>
          <w:rFonts w:ascii="Times New Roman" w:hAnsi="Times New Roman"/>
          <w:sz w:val="24"/>
        </w:rPr>
        <w:t>построение схемы вручную либо импорт из внешних систем: формат DXF (AutoCAD), таблицы Excel и CSV, обменные форматы программ «АэроСеть» и Ventsim;</w:t>
      </w:r>
    </w:p>
    <w:p>
      <w:pPr>
        <w:spacing w:after="40" w:line="264" w:lineRule="auto"/>
        <w:ind w:left="510" w:hanging="255"/>
        <w:jc w:val="both"/>
      </w:pPr>
      <w:r>
        <w:rPr>
          <w:rFonts w:ascii="Times New Roman" w:hAnsi="Times New Roman"/>
          <w:sz w:val="24"/>
        </w:rPr>
        <w:t xml:space="preserve">— </w:t>
      </w:r>
      <w:r>
        <w:rPr>
          <w:rFonts w:ascii="Times New Roman" w:hAnsi="Times New Roman"/>
          <w:sz w:val="24"/>
        </w:rPr>
        <w:t>многоуровневые схемы с горизонтами, подложками планов горных работ и трёхмерным представлением сети;</w:t>
      </w:r>
    </w:p>
    <w:p>
      <w:pPr>
        <w:spacing w:after="40" w:line="264" w:lineRule="auto"/>
        <w:ind w:left="510" w:hanging="255"/>
        <w:jc w:val="both"/>
      </w:pPr>
      <w:r>
        <w:rPr>
          <w:rFonts w:ascii="Times New Roman" w:hAnsi="Times New Roman"/>
          <w:sz w:val="24"/>
        </w:rPr>
        <w:t xml:space="preserve">— </w:t>
      </w:r>
      <w:r>
        <w:rPr>
          <w:rFonts w:ascii="Times New Roman" w:hAnsi="Times New Roman"/>
          <w:sz w:val="24"/>
        </w:rPr>
        <w:t>библиотека условных обозначений горной графической документации;</w:t>
      </w:r>
    </w:p>
    <w:p>
      <w:pPr>
        <w:spacing w:after="40" w:line="264" w:lineRule="auto"/>
        <w:ind w:left="510" w:hanging="255"/>
        <w:jc w:val="both"/>
      </w:pPr>
      <w:r>
        <w:rPr>
          <w:rFonts w:ascii="Times New Roman" w:hAnsi="Times New Roman"/>
          <w:sz w:val="24"/>
        </w:rPr>
        <w:t xml:space="preserve">— </w:t>
      </w:r>
      <w:r>
        <w:rPr>
          <w:rFonts w:ascii="Times New Roman" w:hAnsi="Times New Roman"/>
          <w:sz w:val="24"/>
        </w:rPr>
        <w:t>режимы цветовой раскраски схемы: по расходу, скорости, форме сечения, участкам и горизонтам;</w:t>
      </w:r>
    </w:p>
    <w:p>
      <w:pPr>
        <w:spacing w:after="40" w:line="264" w:lineRule="auto"/>
        <w:ind w:left="510" w:hanging="255"/>
        <w:jc w:val="both"/>
      </w:pPr>
      <w:r>
        <w:rPr>
          <w:rFonts w:ascii="Times New Roman" w:hAnsi="Times New Roman"/>
          <w:sz w:val="24"/>
        </w:rPr>
        <w:t xml:space="preserve">— </w:t>
      </w:r>
      <w:r>
        <w:rPr>
          <w:rFonts w:ascii="Times New Roman" w:hAnsi="Times New Roman"/>
          <w:sz w:val="24"/>
        </w:rPr>
        <w:t>вывод на печать с рамками и штампом, форматы листов от А4 до А0, многолистовая раскладка;</w:t>
      </w:r>
    </w:p>
    <w:p>
      <w:pPr>
        <w:spacing w:after="40" w:line="264" w:lineRule="auto"/>
        <w:ind w:left="510" w:hanging="255"/>
        <w:jc w:val="both"/>
      </w:pPr>
      <w:r>
        <w:rPr>
          <w:rFonts w:ascii="Times New Roman" w:hAnsi="Times New Roman"/>
          <w:sz w:val="24"/>
        </w:rPr>
        <w:t xml:space="preserve">— </w:t>
      </w:r>
      <w:r>
        <w:rPr>
          <w:rFonts w:ascii="Times New Roman" w:hAnsi="Times New Roman"/>
          <w:sz w:val="24"/>
        </w:rPr>
        <w:t>экспорт графики в SVG, PDF (в том числе векторный), PNG, JPG, BMP, TIFF; выгрузка расчётных таблиц в Excel;</w:t>
      </w:r>
    </w:p>
    <w:p>
      <w:pPr>
        <w:spacing w:after="40" w:line="264" w:lineRule="auto"/>
        <w:ind w:left="510" w:hanging="255"/>
        <w:jc w:val="both"/>
      </w:pPr>
      <w:r>
        <w:rPr>
          <w:rFonts w:ascii="Times New Roman" w:hAnsi="Times New Roman"/>
          <w:sz w:val="24"/>
        </w:rPr>
        <w:t xml:space="preserve">— </w:t>
      </w:r>
      <w:r>
        <w:rPr>
          <w:rFonts w:ascii="Times New Roman" w:hAnsi="Times New Roman"/>
          <w:sz w:val="24"/>
        </w:rPr>
        <w:t>встроенная проверка схемы: поиск разрывов, изолированных участков и некорректных данных до запуска расчёта.</w:t>
      </w:r>
    </w:p>
    <w:p>
      <w:pPr>
        <w:spacing w:before="160" w:after="60" w:line="276" w:lineRule="auto"/>
        <w:jc w:val="left"/>
      </w:pPr>
      <w:r>
        <w:rPr>
          <w:rFonts w:ascii="Times New Roman" w:hAnsi="Times New Roman"/>
          <w:b/>
          <w:i w:val="0"/>
          <w:color w:val="1F3A5F"/>
          <w:sz w:val="24"/>
        </w:rPr>
        <w:t>2.9. Справочники и настройки</w:t>
      </w:r>
    </w:p>
    <w:p>
      <w:pPr>
        <w:spacing w:after="40" w:line="264" w:lineRule="auto"/>
        <w:ind w:left="510" w:hanging="255"/>
        <w:jc w:val="both"/>
      </w:pPr>
      <w:r>
        <w:rPr>
          <w:rFonts w:ascii="Times New Roman" w:hAnsi="Times New Roman"/>
          <w:sz w:val="24"/>
        </w:rPr>
        <w:t xml:space="preserve">— </w:t>
      </w:r>
      <w:r>
        <w:rPr>
          <w:rFonts w:ascii="Times New Roman" w:hAnsi="Times New Roman"/>
          <w:sz w:val="24"/>
        </w:rPr>
        <w:t>каталог шахтных вентиляторов с напорными характеристиками и углами установки лопаток;</w:t>
      </w:r>
    </w:p>
    <w:p>
      <w:pPr>
        <w:spacing w:after="40" w:line="264" w:lineRule="auto"/>
        <w:ind w:left="510" w:hanging="255"/>
        <w:jc w:val="both"/>
      </w:pPr>
      <w:r>
        <w:rPr>
          <w:rFonts w:ascii="Times New Roman" w:hAnsi="Times New Roman"/>
          <w:sz w:val="24"/>
        </w:rPr>
        <w:t xml:space="preserve">— </w:t>
      </w:r>
      <w:r>
        <w:rPr>
          <w:rFonts w:ascii="Times New Roman" w:hAnsi="Times New Roman"/>
          <w:sz w:val="24"/>
        </w:rPr>
        <w:t>типы выработок, перемычки, нормы расхода воздуха;</w:t>
      </w:r>
    </w:p>
    <w:p>
      <w:pPr>
        <w:spacing w:after="40" w:line="264" w:lineRule="auto"/>
        <w:ind w:left="510" w:hanging="255"/>
        <w:jc w:val="both"/>
      </w:pPr>
      <w:r>
        <w:rPr>
          <w:rFonts w:ascii="Times New Roman" w:hAnsi="Times New Roman"/>
          <w:sz w:val="24"/>
        </w:rPr>
        <w:t xml:space="preserve">— </w:t>
      </w:r>
      <w:r>
        <w:rPr>
          <w:rFonts w:ascii="Times New Roman" w:hAnsi="Times New Roman"/>
          <w:sz w:val="24"/>
        </w:rPr>
        <w:t>насосы, потребители воды и трубы для расчёта ППЗ;</w:t>
      </w:r>
    </w:p>
    <w:p>
      <w:pPr>
        <w:spacing w:after="40" w:line="264" w:lineRule="auto"/>
        <w:ind w:left="510" w:hanging="255"/>
        <w:jc w:val="both"/>
      </w:pPr>
      <w:r>
        <w:rPr>
          <w:rFonts w:ascii="Times New Roman" w:hAnsi="Times New Roman"/>
          <w:sz w:val="24"/>
        </w:rPr>
        <w:t xml:space="preserve">— </w:t>
      </w:r>
      <w:r>
        <w:rPr>
          <w:rFonts w:ascii="Times New Roman" w:hAnsi="Times New Roman"/>
          <w:sz w:val="24"/>
        </w:rPr>
        <w:t>самоходная техника, датчики, типовые мероприятия ПЛА;</w:t>
      </w:r>
    </w:p>
    <w:p>
      <w:pPr>
        <w:spacing w:after="40" w:line="264" w:lineRule="auto"/>
        <w:ind w:left="510" w:hanging="255"/>
        <w:jc w:val="both"/>
      </w:pPr>
      <w:r>
        <w:rPr>
          <w:rFonts w:ascii="Times New Roman" w:hAnsi="Times New Roman"/>
          <w:sz w:val="24"/>
        </w:rPr>
        <w:t xml:space="preserve">— </w:t>
      </w:r>
      <w:r>
        <w:rPr>
          <w:rFonts w:ascii="Times New Roman" w:hAnsi="Times New Roman"/>
          <w:sz w:val="24"/>
        </w:rPr>
        <w:t>настройка единиц измерения: расход, давление, сопротивление, длина.</w:t>
      </w:r>
    </w:p>
    <w:p>
      <w:pPr>
        <w:spacing w:before="280" w:after="120" w:line="276" w:lineRule="auto"/>
        <w:jc w:val="left"/>
        <w:pBdr>
          <w:bottom w:val="single" w:sz="6" w:space="2" w:color="1F3A5F"/>
        </w:pBdr>
      </w:pPr>
      <w:r>
        <w:rPr>
          <w:rFonts w:ascii="Times New Roman" w:hAnsi="Times New Roman"/>
          <w:b/>
          <w:i w:val="0"/>
          <w:color w:val="1F3A5F"/>
          <w:sz w:val="26"/>
        </w:rPr>
        <w:t>3. Преимущества для предприятия</w:t>
      </w:r>
    </w:p>
    <w:tbl>
      <w:tblPr>
        <w:tblStyle w:val="a7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551"/>
            <w:shd w:val="clear" w:fill="E8EDF5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/>
                <w:b/>
                <w:color w:val="1F3A5F"/>
                <w:sz w:val="21"/>
              </w:rPr>
              <w:t>Критерий</w:t>
            </w:r>
          </w:p>
        </w:tc>
        <w:tc>
          <w:tcPr>
            <w:tcW w:type="dxa" w:w="6520"/>
            <w:shd w:val="clear" w:fill="E8EDF5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/>
                <w:b/>
                <w:color w:val="1F3A5F"/>
                <w:sz w:val="21"/>
              </w:rPr>
              <w:t>Что даёт предприятию</w:t>
            </w:r>
          </w:p>
        </w:tc>
      </w:tr>
      <w:tr>
        <w:tc>
          <w:tcPr>
            <w:tcW w:type="dxa" w:w="2551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/>
                <w:b w:val="0"/>
                <w:sz w:val="21"/>
              </w:rPr>
              <w:t>Соответствие ФНиП</w:t>
            </w:r>
          </w:p>
        </w:tc>
        <w:tc>
          <w:tcPr>
            <w:tcW w:type="dxa" w:w="6520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/>
                <w:b w:val="0"/>
                <w:sz w:val="21"/>
              </w:rPr>
              <w:t>Расчёты выполняются по действующим приказам Ростехнадзора; отчёты содержат применённые нормы и пригодны для экспертизы</w:t>
            </w:r>
          </w:p>
        </w:tc>
      </w:tr>
      <w:tr>
        <w:tc>
          <w:tcPr>
            <w:tcW w:type="dxa" w:w="2551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/>
                <w:b w:val="0"/>
                <w:sz w:val="21"/>
              </w:rPr>
              <w:t>Единая модель сети</w:t>
            </w:r>
          </w:p>
        </w:tc>
        <w:tc>
          <w:tcPr>
            <w:tcW w:type="dxa" w:w="6520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/>
                <w:b w:val="0"/>
                <w:sz w:val="21"/>
              </w:rPr>
              <w:t>Схема строится один раз и используется всеми модулями — исключены расхождения между разделами проекта</w:t>
            </w:r>
          </w:p>
        </w:tc>
      </w:tr>
      <w:tr>
        <w:tc>
          <w:tcPr>
            <w:tcW w:type="dxa" w:w="2551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/>
                <w:b w:val="0"/>
                <w:sz w:val="21"/>
              </w:rPr>
              <w:t>Прозрачность расчёта</w:t>
            </w:r>
          </w:p>
        </w:tc>
        <w:tc>
          <w:tcPr>
            <w:tcW w:type="dxa" w:w="6520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/>
                <w:b w:val="0"/>
                <w:sz w:val="21"/>
              </w:rPr>
              <w:t>Показывается определяющий фактор и формула, по которой получен результат, — расчёт можно проверить вручную</w:t>
            </w:r>
          </w:p>
        </w:tc>
      </w:tr>
      <w:tr>
        <w:tc>
          <w:tcPr>
            <w:tcW w:type="dxa" w:w="2551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/>
                <w:b w:val="0"/>
                <w:sz w:val="21"/>
              </w:rPr>
              <w:t>Гибкость норм</w:t>
            </w:r>
          </w:p>
        </w:tc>
        <w:tc>
          <w:tcPr>
            <w:tcW w:type="dxa" w:w="6520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/>
                <w:b w:val="0"/>
                <w:sz w:val="21"/>
              </w:rPr>
              <w:t>Справочники норм редактируются: применяются значения, согласованные для конкретного предприятия</w:t>
            </w:r>
          </w:p>
        </w:tc>
      </w:tr>
      <w:tr>
        <w:tc>
          <w:tcPr>
            <w:tcW w:type="dxa" w:w="2551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/>
                <w:b w:val="0"/>
                <w:sz w:val="21"/>
              </w:rPr>
              <w:t>Работа без интернета</w:t>
            </w:r>
          </w:p>
        </w:tc>
        <w:tc>
          <w:tcPr>
            <w:tcW w:type="dxa" w:w="6520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/>
                <w:b w:val="0"/>
                <w:sz w:val="21"/>
              </w:rPr>
              <w:t>Настольная версия с локальным расчётным ядром работает в изолированном контуре предприятия</w:t>
            </w:r>
          </w:p>
        </w:tc>
      </w:tr>
      <w:tr>
        <w:tc>
          <w:tcPr>
            <w:tcW w:type="dxa" w:w="2551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/>
                <w:b w:val="0"/>
                <w:sz w:val="21"/>
              </w:rPr>
              <w:t>Отечественная разработка</w:t>
            </w:r>
          </w:p>
        </w:tc>
        <w:tc>
          <w:tcPr>
            <w:tcW w:type="dxa" w:w="6520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/>
                <w:b w:val="0"/>
                <w:sz w:val="21"/>
              </w:rPr>
              <w:t>Импортонезависимое решение, поддержка и развитие на русском языке</w:t>
            </w:r>
          </w:p>
        </w:tc>
      </w:tr>
    </w:tbl>
    <w:p>
      <w:pPr>
        <w:spacing w:before="0" w:after="80" w:line="276" w:lineRule="auto"/>
        <w:jc w:val="both"/>
      </w:pPr>
    </w:p>
    <w:p>
      <w:pPr>
        <w:spacing w:before="280" w:after="120" w:line="276" w:lineRule="auto"/>
        <w:jc w:val="left"/>
        <w:pBdr>
          <w:bottom w:val="single" w:sz="6" w:space="2" w:color="1F3A5F"/>
        </w:pBdr>
      </w:pPr>
      <w:r>
        <w:rPr>
          <w:rFonts w:ascii="Times New Roman" w:hAnsi="Times New Roman"/>
          <w:b/>
          <w:i w:val="0"/>
          <w:color w:val="1F3A5F"/>
          <w:sz w:val="26"/>
        </w:rPr>
        <w:t>4. Условия поставки и сопровождения</w:t>
      </w:r>
    </w:p>
    <w:p>
      <w:pPr>
        <w:spacing w:before="0" w:after="60" w:line="276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>В стоимость годовой лицензии включено:</w:t>
      </w:r>
    </w:p>
    <w:p>
      <w:pPr>
        <w:spacing w:after="40" w:line="264" w:lineRule="auto"/>
        <w:ind w:left="510" w:hanging="255"/>
        <w:jc w:val="both"/>
      </w:pPr>
      <w:r>
        <w:rPr>
          <w:rFonts w:ascii="Times New Roman" w:hAnsi="Times New Roman"/>
          <w:sz w:val="24"/>
        </w:rPr>
        <w:t xml:space="preserve">— </w:t>
      </w:r>
      <w:r>
        <w:rPr>
          <w:rFonts w:ascii="Times New Roman" w:hAnsi="Times New Roman"/>
          <w:sz w:val="24"/>
        </w:rPr>
        <w:t>установка и настройка программного обеспечения на рабочих местах заказчика (удалённо);</w:t>
      </w:r>
    </w:p>
    <w:p>
      <w:pPr>
        <w:spacing w:after="40" w:line="264" w:lineRule="auto"/>
        <w:ind w:left="510" w:hanging="255"/>
        <w:jc w:val="both"/>
      </w:pPr>
      <w:r>
        <w:rPr>
          <w:rFonts w:ascii="Times New Roman" w:hAnsi="Times New Roman"/>
          <w:sz w:val="24"/>
        </w:rPr>
        <w:t xml:space="preserve">— </w:t>
      </w:r>
      <w:r>
        <w:rPr>
          <w:rFonts w:ascii="Times New Roman" w:hAnsi="Times New Roman"/>
          <w:sz w:val="24"/>
        </w:rPr>
        <w:t>обучение персонала работе с комплексом (очно или в дистанционном формате);</w:t>
      </w:r>
    </w:p>
    <w:p>
      <w:pPr>
        <w:spacing w:after="40" w:line="264" w:lineRule="auto"/>
        <w:ind w:left="510" w:hanging="255"/>
        <w:jc w:val="both"/>
      </w:pPr>
      <w:r>
        <w:rPr>
          <w:rFonts w:ascii="Times New Roman" w:hAnsi="Times New Roman"/>
          <w:sz w:val="24"/>
        </w:rPr>
        <w:t xml:space="preserve">— </w:t>
      </w:r>
      <w:r>
        <w:rPr>
          <w:rFonts w:ascii="Times New Roman" w:hAnsi="Times New Roman"/>
          <w:sz w:val="24"/>
        </w:rPr>
        <w:t>техническая поддержка в режиме 24/7;</w:t>
      </w:r>
    </w:p>
    <w:p>
      <w:pPr>
        <w:spacing w:after="40" w:line="264" w:lineRule="auto"/>
        <w:ind w:left="510" w:hanging="255"/>
        <w:jc w:val="both"/>
      </w:pPr>
      <w:r>
        <w:rPr>
          <w:rFonts w:ascii="Times New Roman" w:hAnsi="Times New Roman"/>
          <w:sz w:val="24"/>
        </w:rPr>
        <w:t xml:space="preserve">— </w:t>
      </w:r>
      <w:r>
        <w:rPr>
          <w:rFonts w:ascii="Times New Roman" w:hAnsi="Times New Roman"/>
          <w:sz w:val="24"/>
        </w:rPr>
        <w:t>регулярные обновления программного обеспечения в течение срока лицензии;</w:t>
      </w:r>
    </w:p>
    <w:p>
      <w:pPr>
        <w:spacing w:after="40" w:line="264" w:lineRule="auto"/>
        <w:ind w:left="510" w:hanging="255"/>
        <w:jc w:val="both"/>
      </w:pPr>
      <w:r>
        <w:rPr>
          <w:rFonts w:ascii="Times New Roman" w:hAnsi="Times New Roman"/>
          <w:sz w:val="24"/>
        </w:rPr>
        <w:t xml:space="preserve">— </w:t>
      </w:r>
      <w:r>
        <w:rPr>
          <w:rFonts w:ascii="Times New Roman" w:hAnsi="Times New Roman"/>
          <w:sz w:val="24"/>
        </w:rPr>
        <w:t>консультации специалистов по вопросам эксплуатации и интерпретации результатов расчётов.</w:t>
      </w:r>
    </w:p>
    <w:p>
      <w:pPr>
        <w:spacing w:before="0" w:after="40" w:line="276" w:lineRule="auto"/>
        <w:jc w:val="both"/>
      </w:pPr>
    </w:p>
    <w:tbl>
      <w:tblPr>
        <w:tblStyle w:val="a7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3118"/>
            <w:shd w:val="clear" w:fill="E8EDF5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/>
                <w:b/>
                <w:color w:val="1F3A5F"/>
                <w:sz w:val="21"/>
              </w:rPr>
              <w:t>Параметр</w:t>
            </w:r>
          </w:p>
        </w:tc>
        <w:tc>
          <w:tcPr>
            <w:tcW w:type="dxa" w:w="5953"/>
            <w:shd w:val="clear" w:fill="E8EDF5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/>
                <w:b/>
                <w:color w:val="1F3A5F"/>
                <w:sz w:val="21"/>
              </w:rPr>
              <w:t>Значение</w:t>
            </w:r>
          </w:p>
        </w:tc>
      </w:tr>
      <w:tr>
        <w:tc>
          <w:tcPr>
            <w:tcW w:type="dxa" w:w="3118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/>
                <w:b w:val="0"/>
                <w:sz w:val="21"/>
              </w:rPr>
              <w:t>Тип лицензии</w:t>
            </w:r>
          </w:p>
        </w:tc>
        <w:tc>
          <w:tcPr>
            <w:tcW w:type="dxa" w:w="5953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/>
                <w:b w:val="0"/>
                <w:sz w:val="21"/>
              </w:rPr>
              <w:t>Корпоративная, для использования на территории предприятия</w:t>
            </w:r>
          </w:p>
        </w:tc>
      </w:tr>
      <w:tr>
        <w:tc>
          <w:tcPr>
            <w:tcW w:type="dxa" w:w="3118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/>
                <w:b w:val="0"/>
                <w:sz w:val="21"/>
              </w:rPr>
              <w:t>Срок действия</w:t>
            </w:r>
          </w:p>
        </w:tc>
        <w:tc>
          <w:tcPr>
            <w:tcW w:type="dxa" w:w="5953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/>
                <w:b w:val="0"/>
                <w:sz w:val="21"/>
              </w:rPr>
              <w:t>1 год с момента подписания договора</w:t>
            </w:r>
          </w:p>
        </w:tc>
      </w:tr>
      <w:tr>
        <w:tc>
          <w:tcPr>
            <w:tcW w:type="dxa" w:w="3118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/>
                <w:b w:val="0"/>
                <w:sz w:val="21"/>
              </w:rPr>
              <w:t>Количество рабочих мест</w:t>
            </w:r>
          </w:p>
        </w:tc>
        <w:tc>
          <w:tcPr>
            <w:tcW w:type="dxa" w:w="5953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/>
                <w:b w:val="0"/>
                <w:sz w:val="21"/>
              </w:rPr>
              <w:t>1 лицензионный ключ на 5 рабочих мест</w:t>
            </w:r>
          </w:p>
        </w:tc>
      </w:tr>
      <w:tr>
        <w:tc>
          <w:tcPr>
            <w:tcW w:type="dxa" w:w="3118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/>
                <w:b w:val="0"/>
                <w:sz w:val="21"/>
              </w:rPr>
              <w:t>Платформа</w:t>
            </w:r>
          </w:p>
        </w:tc>
        <w:tc>
          <w:tcPr>
            <w:tcW w:type="dxa" w:w="5953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/>
                <w:b w:val="0"/>
                <w:sz w:val="21"/>
              </w:rPr>
              <w:t>Настольная версия для Windows 10/11 (64-бит) и веб-версия</w:t>
            </w:r>
          </w:p>
        </w:tc>
      </w:tr>
      <w:tr>
        <w:tc>
          <w:tcPr>
            <w:tcW w:type="dxa" w:w="3118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/>
                <w:b w:val="0"/>
                <w:sz w:val="21"/>
              </w:rPr>
              <w:t>Режим работы</w:t>
            </w:r>
          </w:p>
        </w:tc>
        <w:tc>
          <w:tcPr>
            <w:tcW w:type="dxa" w:w="5953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/>
                <w:b w:val="0"/>
                <w:sz w:val="21"/>
              </w:rPr>
              <w:t>Настольная версия работает автономно, без доступа в интернет</w:t>
            </w:r>
          </w:p>
        </w:tc>
      </w:tr>
      <w:tr>
        <w:tc>
          <w:tcPr>
            <w:tcW w:type="dxa" w:w="3118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/>
                <w:b w:val="0"/>
                <w:sz w:val="21"/>
              </w:rPr>
              <w:t>Интеграция с системами предприятия</w:t>
            </w:r>
          </w:p>
        </w:tc>
        <w:tc>
          <w:tcPr>
            <w:tcW w:type="dxa" w:w="5953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/>
                <w:b w:val="0"/>
                <w:sz w:val="21"/>
              </w:rPr>
              <w:t>Опционально, по отдельному соглашению</w:t>
            </w:r>
          </w:p>
        </w:tc>
      </w:tr>
    </w:tbl>
    <w:p>
      <w:pPr>
        <w:spacing w:before="0" w:after="80" w:line="276" w:lineRule="auto"/>
        <w:jc w:val="both"/>
      </w:pPr>
    </w:p>
    <w:p>
      <w:pPr>
        <w:spacing w:before="280" w:after="120" w:line="276" w:lineRule="auto"/>
        <w:jc w:val="left"/>
        <w:pBdr>
          <w:bottom w:val="single" w:sz="6" w:space="2" w:color="1F3A5F"/>
        </w:pBdr>
      </w:pPr>
      <w:r>
        <w:rPr>
          <w:rFonts w:ascii="Times New Roman" w:hAnsi="Times New Roman"/>
          <w:b/>
          <w:i w:val="0"/>
          <w:color w:val="1F3A5F"/>
          <w:sz w:val="26"/>
        </w:rPr>
        <w:t>5. Стоимость</w:t>
      </w:r>
    </w:p>
    <w:tbl>
      <w:tblPr>
        <w:tblStyle w:val="a7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35"/>
            <w:shd w:val="clear" w:fill="E8EDF5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/>
                <w:b/>
                <w:color w:val="1F3A5F"/>
                <w:sz w:val="21"/>
              </w:rPr>
              <w:t>Наименование</w:t>
            </w:r>
          </w:p>
        </w:tc>
        <w:tc>
          <w:tcPr>
            <w:tcW w:type="dxa" w:w="1361"/>
            <w:shd w:val="clear" w:fill="E8EDF5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/>
                <w:b/>
                <w:color w:val="1F3A5F"/>
                <w:sz w:val="21"/>
              </w:rPr>
              <w:t>Срок</w:t>
            </w:r>
          </w:p>
        </w:tc>
        <w:tc>
          <w:tcPr>
            <w:tcW w:type="dxa" w:w="1474"/>
            <w:shd w:val="clear" w:fill="E8EDF5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/>
                <w:b/>
                <w:color w:val="1F3A5F"/>
                <w:sz w:val="21"/>
              </w:rPr>
              <w:t>Рабочих мест</w:t>
            </w:r>
          </w:p>
        </w:tc>
        <w:tc>
          <w:tcPr>
            <w:tcW w:type="dxa" w:w="1701"/>
            <w:shd w:val="clear" w:fill="E8EDF5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/>
                <w:b/>
                <w:color w:val="1F3A5F"/>
                <w:sz w:val="21"/>
              </w:rPr>
              <w:t>Стоимость, руб.</w:t>
            </w:r>
          </w:p>
        </w:tc>
      </w:tr>
      <w:tr>
        <w:tc>
          <w:tcPr>
            <w:tcW w:type="dxa" w:w="4535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/>
                <w:b w:val="0"/>
                <w:sz w:val="21"/>
              </w:rPr>
              <w:t>Лицензия на программный комплекс «ПВ-Система»</w:t>
            </w:r>
          </w:p>
        </w:tc>
        <w:tc>
          <w:tcPr>
            <w:tcW w:type="dxa" w:w="1361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/>
                <w:b w:val="0"/>
                <w:sz w:val="21"/>
              </w:rPr>
              <w:t>1 год</w:t>
            </w:r>
          </w:p>
        </w:tc>
        <w:tc>
          <w:tcPr>
            <w:tcW w:type="dxa" w:w="1474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/>
                <w:b w:val="0"/>
                <w:sz w:val="21"/>
              </w:rPr>
              <w:t>5</w:t>
            </w:r>
          </w:p>
        </w:tc>
        <w:tc>
          <w:tcPr>
            <w:tcW w:type="dxa" w:w="1701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/>
                <w:b w:val="0"/>
                <w:sz w:val="21"/>
              </w:rPr>
              <w:t>1 200 000,00</w:t>
            </w:r>
          </w:p>
        </w:tc>
      </w:tr>
    </w:tbl>
    <w:p>
      <w:pPr>
        <w:spacing w:before="0" w:after="40" w:line="276" w:lineRule="auto"/>
        <w:jc w:val="both"/>
      </w:pPr>
    </w:p>
    <w:p>
      <w:pPr>
        <w:spacing w:before="0" w:after="80" w:line="276" w:lineRule="auto"/>
        <w:ind w:firstLine="709"/>
        <w:jc w:val="both"/>
      </w:pPr>
      <w:r>
        <w:rPr>
          <w:rFonts w:ascii="Times New Roman" w:hAnsi="Times New Roman"/>
          <w:b w:val="0"/>
          <w:i/>
          <w:sz w:val="22"/>
        </w:rPr>
        <w:t>Стоимость указана без НДС на основании подпункта 26 пункта 2 статьи 149 Налогового кодекса Российской Федерации (передача прав на использование программ для ЭВМ).</w:t>
      </w:r>
    </w:p>
    <w:p>
      <w:pPr>
        <w:spacing w:before="0" w:after="1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При переходе рудников холдинга УГМК на программный комплекс «ПВ-Система» стоимость лицензии для каждого предприятия составит базовую величину — 1 200 000 (один миллион двести тысяч) рублей 00 копеек.</w:t>
      </w:r>
    </w:p>
    <w:p>
      <w:pPr>
        <w:spacing w:before="160" w:after="60" w:line="276" w:lineRule="auto"/>
        <w:jc w:val="left"/>
      </w:pPr>
      <w:r>
        <w:rPr>
          <w:rFonts w:ascii="Times New Roman" w:hAnsi="Times New Roman"/>
          <w:b/>
          <w:i w:val="0"/>
          <w:color w:val="1F3A5F"/>
          <w:sz w:val="24"/>
        </w:rPr>
        <w:t>Порядок расчётов</w:t>
      </w:r>
    </w:p>
    <w:p>
      <w:pPr>
        <w:spacing w:after="40" w:line="264" w:lineRule="auto"/>
        <w:ind w:left="510" w:hanging="255"/>
        <w:jc w:val="both"/>
      </w:pPr>
      <w:r>
        <w:rPr>
          <w:rFonts w:ascii="Times New Roman" w:hAnsi="Times New Roman"/>
          <w:sz w:val="24"/>
        </w:rPr>
        <w:t xml:space="preserve">— </w:t>
      </w:r>
      <w:r>
        <w:rPr>
          <w:rFonts w:ascii="Times New Roman" w:hAnsi="Times New Roman"/>
          <w:sz w:val="24"/>
        </w:rPr>
        <w:t>оплата производится единовременно в течение 5 рабочих дней с момента подписания договора на основании выставленного лицензиаром счёта;</w:t>
      </w:r>
    </w:p>
    <w:p>
      <w:pPr>
        <w:spacing w:after="40" w:line="264" w:lineRule="auto"/>
        <w:ind w:left="510" w:hanging="255"/>
        <w:jc w:val="both"/>
      </w:pPr>
      <w:r>
        <w:rPr>
          <w:rFonts w:ascii="Times New Roman" w:hAnsi="Times New Roman"/>
          <w:sz w:val="24"/>
        </w:rPr>
        <w:t xml:space="preserve">— </w:t>
      </w:r>
      <w:r>
        <w:rPr>
          <w:rFonts w:ascii="Times New Roman" w:hAnsi="Times New Roman"/>
          <w:sz w:val="24"/>
        </w:rPr>
        <w:t>лицензиар передаёт лицензиату ключ активации и эксплуатационную документацию в течение 3 рабочих дней после поступления оплаты;</w:t>
      </w:r>
    </w:p>
    <w:p>
      <w:pPr>
        <w:spacing w:after="40" w:line="264" w:lineRule="auto"/>
        <w:ind w:left="510" w:hanging="255"/>
        <w:jc w:val="both"/>
      </w:pPr>
      <w:r>
        <w:rPr>
          <w:rFonts w:ascii="Times New Roman" w:hAnsi="Times New Roman"/>
          <w:sz w:val="24"/>
        </w:rPr>
        <w:t xml:space="preserve">— </w:t>
      </w:r>
      <w:r>
        <w:rPr>
          <w:rFonts w:ascii="Times New Roman" w:hAnsi="Times New Roman"/>
          <w:sz w:val="24"/>
        </w:rPr>
        <w:t>передача оформляется актом приёма-передачи.</w:t>
      </w:r>
    </w:p>
    <w:p>
      <w:pPr>
        <w:spacing w:before="280" w:after="120" w:line="276" w:lineRule="auto"/>
        <w:jc w:val="left"/>
        <w:pBdr>
          <w:bottom w:val="single" w:sz="6" w:space="2" w:color="1F3A5F"/>
        </w:pBdr>
      </w:pPr>
      <w:r>
        <w:rPr>
          <w:rFonts w:ascii="Times New Roman" w:hAnsi="Times New Roman"/>
          <w:b/>
          <w:i w:val="0"/>
          <w:color w:val="1F3A5F"/>
          <w:sz w:val="26"/>
        </w:rPr>
        <w:t>6. Как начать работу</w:t>
      </w:r>
    </w:p>
    <w:p>
      <w:pPr>
        <w:spacing w:before="0" w:after="1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Для получения демонстрационной версии, проведения презентации на площадке предприятия или обсуждения условий сотрудничества просим обращаться по указанным контактам.</w:t>
      </w:r>
    </w:p>
    <w:tbl>
      <w:tblPr>
        <w:tblStyle w:val="a7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3118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/>
                <w:b/>
                <w:sz w:val="21"/>
              </w:rPr>
              <w:t>Телефон</w:t>
            </w:r>
          </w:p>
        </w:tc>
        <w:tc>
          <w:tcPr>
            <w:tcW w:type="dxa" w:w="5953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/>
                <w:b w:val="0"/>
                <w:sz w:val="21"/>
              </w:rPr>
              <w:t>+7 (905) 005-36-19</w:t>
            </w:r>
          </w:p>
        </w:tc>
      </w:tr>
      <w:tr>
        <w:tc>
          <w:tcPr>
            <w:tcW w:type="dxa" w:w="3118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/>
                <w:b/>
                <w:sz w:val="21"/>
              </w:rPr>
              <w:t>Техническая поддержка</w:t>
            </w:r>
          </w:p>
        </w:tc>
        <w:tc>
          <w:tcPr>
            <w:tcW w:type="dxa" w:w="5953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/>
                <w:b w:val="0"/>
                <w:sz w:val="21"/>
              </w:rPr>
              <w:t>+7 (933) 044-70-17</w:t>
            </w:r>
          </w:p>
        </w:tc>
      </w:tr>
      <w:tr>
        <w:tc>
          <w:tcPr>
            <w:tcW w:type="dxa" w:w="3118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/>
                <w:b/>
                <w:sz w:val="21"/>
              </w:rPr>
              <w:t>Электронная почта</w:t>
            </w:r>
          </w:p>
        </w:tc>
        <w:tc>
          <w:tcPr>
            <w:tcW w:type="dxa" w:w="5953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/>
                <w:b w:val="0"/>
                <w:sz w:val="21"/>
              </w:rPr>
              <w:t>pvsistema@mail.ru</w:t>
            </w:r>
          </w:p>
        </w:tc>
      </w:tr>
      <w:tr>
        <w:tc>
          <w:tcPr>
            <w:tcW w:type="dxa" w:w="3118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/>
                <w:b/>
                <w:sz w:val="21"/>
              </w:rPr>
              <w:t>Сайт</w:t>
            </w:r>
          </w:p>
        </w:tc>
        <w:tc>
          <w:tcPr>
            <w:tcW w:type="dxa" w:w="5953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/>
                <w:b w:val="0"/>
                <w:sz w:val="21"/>
              </w:rPr>
              <w:t>пвсистема.рф</w:t>
            </w:r>
          </w:p>
        </w:tc>
      </w:tr>
    </w:tbl>
    <w:p>
      <w:pPr>
        <w:spacing w:before="0" w:after="120" w:line="276" w:lineRule="auto"/>
        <w:jc w:val="both"/>
      </w:pPr>
    </w:p>
    <w:p>
      <w:pPr>
        <w:spacing w:before="0" w:after="28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Готовы провести презентацию «ПВ-Системы» на вашем предприятии, выполнить тестовый расчёт на реальной схеме одного из рудников холдинга и ответить на вопросы технических специалистов.</w:t>
      </w:r>
    </w:p>
    <w:p>
      <w:pPr>
        <w:spacing w:before="0" w:after="240" w:line="276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>С уважением,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Директор АНО ДПО</w:t>
              <w:br/>
              <w:t>«Учебный центр ГорГазНефть»</w:t>
            </w:r>
          </w:p>
        </w:tc>
        <w:tc>
          <w:tcPr>
            <w:tcW w:type="dxa" w:w="3969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40" w:before="40"/>
              <w:jc w:val="right"/>
            </w:pPr>
            <w:r/>
            <w:r>
              <w:rPr>
                <w:rFonts w:ascii="Times New Roman" w:hAnsi="Times New Roman"/>
                <w:b w:val="0"/>
                <w:sz w:val="24"/>
              </w:rPr>
              <w:t>И. Н. Басантаев</w:t>
            </w:r>
          </w:p>
        </w:tc>
      </w:tr>
    </w:tbl>
    <w:sectPr w:rsidR="00732CE2" w:rsidRPr="00732CE2" w:rsidSect="00732CE2">
      <w:pgSz w:w="11906" w:h="16838"/>
      <w:pgMar w:top="1134" w:right="567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7030392"/>
    <w:multiLevelType w:val="hybridMultilevel"/>
    <w:tmpl w:val="6B44687E"/>
    <w:lvl w:ilvl="0" w:tplc="092E6912">
      <w:start w:val="1"/>
      <w:numFmt w:val="decimal"/>
      <w:lvlText w:val="%1."/>
      <w:lvlJc w:val="left"/>
      <w:pPr>
        <w:ind w:left="644" w:hanging="360"/>
      </w:pPr>
      <w:rPr>
        <w:rFonts w:hint="default"/>
        <w:i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7A1130"/>
    <w:multiLevelType w:val="hybridMultilevel"/>
    <w:tmpl w:val="3DB81298"/>
    <w:lvl w:ilvl="0" w:tplc="0419000F">
      <w:start w:val="1"/>
      <w:numFmt w:val="decimal"/>
      <w:lvlText w:val="%1."/>
      <w:lvlJc w:val="left"/>
      <w:pPr>
        <w:ind w:left="951" w:hanging="360"/>
      </w:pPr>
    </w:lvl>
    <w:lvl w:ilvl="1" w:tplc="04190019" w:tentative="1">
      <w:start w:val="1"/>
      <w:numFmt w:val="lowerLetter"/>
      <w:lvlText w:val="%2."/>
      <w:lvlJc w:val="left"/>
      <w:pPr>
        <w:ind w:left="1671" w:hanging="360"/>
      </w:pPr>
    </w:lvl>
    <w:lvl w:ilvl="2" w:tplc="0419001B" w:tentative="1">
      <w:start w:val="1"/>
      <w:numFmt w:val="lowerRoman"/>
      <w:lvlText w:val="%3."/>
      <w:lvlJc w:val="right"/>
      <w:pPr>
        <w:ind w:left="2391" w:hanging="180"/>
      </w:pPr>
    </w:lvl>
    <w:lvl w:ilvl="3" w:tplc="0419000F" w:tentative="1">
      <w:start w:val="1"/>
      <w:numFmt w:val="decimal"/>
      <w:lvlText w:val="%4."/>
      <w:lvlJc w:val="left"/>
      <w:pPr>
        <w:ind w:left="3111" w:hanging="360"/>
      </w:pPr>
    </w:lvl>
    <w:lvl w:ilvl="4" w:tplc="04190019" w:tentative="1">
      <w:start w:val="1"/>
      <w:numFmt w:val="lowerLetter"/>
      <w:lvlText w:val="%5."/>
      <w:lvlJc w:val="left"/>
      <w:pPr>
        <w:ind w:left="3831" w:hanging="360"/>
      </w:pPr>
    </w:lvl>
    <w:lvl w:ilvl="5" w:tplc="0419001B" w:tentative="1">
      <w:start w:val="1"/>
      <w:numFmt w:val="lowerRoman"/>
      <w:lvlText w:val="%6."/>
      <w:lvlJc w:val="right"/>
      <w:pPr>
        <w:ind w:left="4551" w:hanging="180"/>
      </w:pPr>
    </w:lvl>
    <w:lvl w:ilvl="6" w:tplc="0419000F" w:tentative="1">
      <w:start w:val="1"/>
      <w:numFmt w:val="decimal"/>
      <w:lvlText w:val="%7."/>
      <w:lvlJc w:val="left"/>
      <w:pPr>
        <w:ind w:left="5271" w:hanging="360"/>
      </w:pPr>
    </w:lvl>
    <w:lvl w:ilvl="7" w:tplc="04190019" w:tentative="1">
      <w:start w:val="1"/>
      <w:numFmt w:val="lowerLetter"/>
      <w:lvlText w:val="%8."/>
      <w:lvlJc w:val="left"/>
      <w:pPr>
        <w:ind w:left="5991" w:hanging="360"/>
      </w:pPr>
    </w:lvl>
    <w:lvl w:ilvl="8" w:tplc="0419001B" w:tentative="1">
      <w:start w:val="1"/>
      <w:numFmt w:val="lowerRoman"/>
      <w:lvlText w:val="%9."/>
      <w:lvlJc w:val="right"/>
      <w:pPr>
        <w:ind w:left="6711" w:hanging="180"/>
      </w:pPr>
    </w:lvl>
  </w:abstractNum>
  <w:abstractNum w:abstractNumId="2" w15:restartNumberingAfterBreak="0">
    <w:nsid w:val="2BE9358F"/>
    <w:multiLevelType w:val="hybridMultilevel"/>
    <w:tmpl w:val="D2B62C4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402753C"/>
    <w:multiLevelType w:val="hybridMultilevel"/>
    <w:tmpl w:val="A3AA1EE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4FA208F"/>
    <w:multiLevelType w:val="hybridMultilevel"/>
    <w:tmpl w:val="6B925178"/>
    <w:lvl w:ilvl="0" w:tplc="98465C88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hint="default"/>
        <w:i/>
        <w:sz w:val="24"/>
        <w:u w:val="single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D274E17"/>
    <w:multiLevelType w:val="hybridMultilevel"/>
    <w:tmpl w:val="22A8F7C8"/>
    <w:lvl w:ilvl="0" w:tplc="48069550">
      <w:start w:val="1"/>
      <w:numFmt w:val="decimal"/>
      <w:lvlText w:val="%1."/>
      <w:lvlJc w:val="left"/>
      <w:pPr>
        <w:ind w:left="1004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71F4201"/>
    <w:multiLevelType w:val="hybridMultilevel"/>
    <w:tmpl w:val="6B44687E"/>
    <w:lvl w:ilvl="0" w:tplc="092E6912">
      <w:start w:val="1"/>
      <w:numFmt w:val="decimal"/>
      <w:lvlText w:val="%1."/>
      <w:lvlJc w:val="left"/>
      <w:pPr>
        <w:ind w:left="644" w:hanging="360"/>
      </w:pPr>
      <w:rPr>
        <w:rFonts w:hint="default"/>
        <w:i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D2430B6"/>
    <w:multiLevelType w:val="hybridMultilevel"/>
    <w:tmpl w:val="D8F850C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220617A"/>
    <w:multiLevelType w:val="hybridMultilevel"/>
    <w:tmpl w:val="BB900EF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79C4798"/>
    <w:multiLevelType w:val="hybridMultilevel"/>
    <w:tmpl w:val="6B44687E"/>
    <w:lvl w:ilvl="0" w:tplc="092E6912">
      <w:start w:val="1"/>
      <w:numFmt w:val="decimal"/>
      <w:lvlText w:val="%1."/>
      <w:lvlJc w:val="left"/>
      <w:pPr>
        <w:ind w:left="644" w:hanging="360"/>
      </w:pPr>
      <w:rPr>
        <w:rFonts w:hint="default"/>
        <w:i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C1E33D2"/>
    <w:multiLevelType w:val="hybridMultilevel"/>
    <w:tmpl w:val="8544FFA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03655A2"/>
    <w:multiLevelType w:val="hybridMultilevel"/>
    <w:tmpl w:val="DA64AF0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5996A77"/>
    <w:multiLevelType w:val="hybridMultilevel"/>
    <w:tmpl w:val="4EEE6A8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FD646DE"/>
    <w:multiLevelType w:val="hybridMultilevel"/>
    <w:tmpl w:val="9E1408D0"/>
    <w:lvl w:ilvl="0" w:tplc="48069550">
      <w:start w:val="1"/>
      <w:numFmt w:val="decimal"/>
      <w:lvlText w:val="%1."/>
      <w:lvlJc w:val="left"/>
      <w:pPr>
        <w:ind w:left="100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24" w:hanging="360"/>
      </w:pPr>
    </w:lvl>
    <w:lvl w:ilvl="2" w:tplc="0419001B" w:tentative="1">
      <w:start w:val="1"/>
      <w:numFmt w:val="lowerRoman"/>
      <w:lvlText w:val="%3."/>
      <w:lvlJc w:val="right"/>
      <w:pPr>
        <w:ind w:left="2444" w:hanging="180"/>
      </w:pPr>
    </w:lvl>
    <w:lvl w:ilvl="3" w:tplc="0419000F" w:tentative="1">
      <w:start w:val="1"/>
      <w:numFmt w:val="decimal"/>
      <w:lvlText w:val="%4."/>
      <w:lvlJc w:val="left"/>
      <w:pPr>
        <w:ind w:left="3164" w:hanging="360"/>
      </w:pPr>
    </w:lvl>
    <w:lvl w:ilvl="4" w:tplc="04190019" w:tentative="1">
      <w:start w:val="1"/>
      <w:numFmt w:val="lowerLetter"/>
      <w:lvlText w:val="%5."/>
      <w:lvlJc w:val="left"/>
      <w:pPr>
        <w:ind w:left="3884" w:hanging="360"/>
      </w:pPr>
    </w:lvl>
    <w:lvl w:ilvl="5" w:tplc="0419001B" w:tentative="1">
      <w:start w:val="1"/>
      <w:numFmt w:val="lowerRoman"/>
      <w:lvlText w:val="%6."/>
      <w:lvlJc w:val="right"/>
      <w:pPr>
        <w:ind w:left="4604" w:hanging="180"/>
      </w:pPr>
    </w:lvl>
    <w:lvl w:ilvl="6" w:tplc="0419000F" w:tentative="1">
      <w:start w:val="1"/>
      <w:numFmt w:val="decimal"/>
      <w:lvlText w:val="%7."/>
      <w:lvlJc w:val="left"/>
      <w:pPr>
        <w:ind w:left="5324" w:hanging="360"/>
      </w:pPr>
    </w:lvl>
    <w:lvl w:ilvl="7" w:tplc="04190019" w:tentative="1">
      <w:start w:val="1"/>
      <w:numFmt w:val="lowerLetter"/>
      <w:lvlText w:val="%8."/>
      <w:lvlJc w:val="left"/>
      <w:pPr>
        <w:ind w:left="6044" w:hanging="360"/>
      </w:pPr>
    </w:lvl>
    <w:lvl w:ilvl="8" w:tplc="041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4" w15:restartNumberingAfterBreak="0">
    <w:nsid w:val="77D2158F"/>
    <w:multiLevelType w:val="hybridMultilevel"/>
    <w:tmpl w:val="A40850B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91325D8"/>
    <w:multiLevelType w:val="hybridMultilevel"/>
    <w:tmpl w:val="08EC991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0"/>
  </w:num>
  <w:num w:numId="3">
    <w:abstractNumId w:val="6"/>
  </w:num>
  <w:num w:numId="4">
    <w:abstractNumId w:val="9"/>
  </w:num>
  <w:num w:numId="5">
    <w:abstractNumId w:val="1"/>
  </w:num>
  <w:num w:numId="6">
    <w:abstractNumId w:val="2"/>
  </w:num>
  <w:num w:numId="7">
    <w:abstractNumId w:val="13"/>
  </w:num>
  <w:num w:numId="8">
    <w:abstractNumId w:val="5"/>
  </w:num>
  <w:num w:numId="9">
    <w:abstractNumId w:val="3"/>
  </w:num>
  <w:num w:numId="10">
    <w:abstractNumId w:val="7"/>
  </w:num>
  <w:num w:numId="11">
    <w:abstractNumId w:val="8"/>
  </w:num>
  <w:num w:numId="12">
    <w:abstractNumId w:val="12"/>
  </w:num>
  <w:num w:numId="13">
    <w:abstractNumId w:val="14"/>
  </w:num>
  <w:num w:numId="14">
    <w:abstractNumId w:val="10"/>
  </w:num>
  <w:num w:numId="15">
    <w:abstractNumId w:val="15"/>
  </w:num>
  <w:num w:numId="1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3DD0"/>
    <w:rsid w:val="00026982"/>
    <w:rsid w:val="000362BB"/>
    <w:rsid w:val="00057251"/>
    <w:rsid w:val="000C0F0E"/>
    <w:rsid w:val="000E0E63"/>
    <w:rsid w:val="001332EB"/>
    <w:rsid w:val="001603B6"/>
    <w:rsid w:val="001D3100"/>
    <w:rsid w:val="001E4A30"/>
    <w:rsid w:val="00206050"/>
    <w:rsid w:val="00223DD0"/>
    <w:rsid w:val="0024792D"/>
    <w:rsid w:val="00287FAC"/>
    <w:rsid w:val="002C03DE"/>
    <w:rsid w:val="002C16C0"/>
    <w:rsid w:val="002F7DC1"/>
    <w:rsid w:val="003212A0"/>
    <w:rsid w:val="0036395A"/>
    <w:rsid w:val="003A33F4"/>
    <w:rsid w:val="003A5726"/>
    <w:rsid w:val="003F6B23"/>
    <w:rsid w:val="00402258"/>
    <w:rsid w:val="00406C46"/>
    <w:rsid w:val="004242C9"/>
    <w:rsid w:val="0043108F"/>
    <w:rsid w:val="00452B18"/>
    <w:rsid w:val="004654FE"/>
    <w:rsid w:val="00500825"/>
    <w:rsid w:val="0053524B"/>
    <w:rsid w:val="0054276B"/>
    <w:rsid w:val="005A574E"/>
    <w:rsid w:val="0065444B"/>
    <w:rsid w:val="00670FBD"/>
    <w:rsid w:val="006727D5"/>
    <w:rsid w:val="006747DD"/>
    <w:rsid w:val="006865B7"/>
    <w:rsid w:val="00696AE5"/>
    <w:rsid w:val="006D1A50"/>
    <w:rsid w:val="006D5401"/>
    <w:rsid w:val="006E78A5"/>
    <w:rsid w:val="00732CE2"/>
    <w:rsid w:val="00740232"/>
    <w:rsid w:val="00785DA6"/>
    <w:rsid w:val="007A3DD7"/>
    <w:rsid w:val="007A7386"/>
    <w:rsid w:val="007C2EAB"/>
    <w:rsid w:val="007F1F77"/>
    <w:rsid w:val="007F6327"/>
    <w:rsid w:val="00806065"/>
    <w:rsid w:val="0081447A"/>
    <w:rsid w:val="00817712"/>
    <w:rsid w:val="008249C5"/>
    <w:rsid w:val="008303B7"/>
    <w:rsid w:val="00846E0F"/>
    <w:rsid w:val="00860A73"/>
    <w:rsid w:val="00894DD0"/>
    <w:rsid w:val="008B48E4"/>
    <w:rsid w:val="008D5F07"/>
    <w:rsid w:val="008E2995"/>
    <w:rsid w:val="009216AF"/>
    <w:rsid w:val="00933E14"/>
    <w:rsid w:val="00982FEA"/>
    <w:rsid w:val="00984A87"/>
    <w:rsid w:val="009B4D0A"/>
    <w:rsid w:val="009C03A2"/>
    <w:rsid w:val="009C6ECD"/>
    <w:rsid w:val="009F3D01"/>
    <w:rsid w:val="00A31CD2"/>
    <w:rsid w:val="00A4371B"/>
    <w:rsid w:val="00A53800"/>
    <w:rsid w:val="00A565AD"/>
    <w:rsid w:val="00AC477F"/>
    <w:rsid w:val="00B51943"/>
    <w:rsid w:val="00B92E95"/>
    <w:rsid w:val="00BF0C4C"/>
    <w:rsid w:val="00C443D1"/>
    <w:rsid w:val="00C61370"/>
    <w:rsid w:val="00C805D6"/>
    <w:rsid w:val="00C97DE3"/>
    <w:rsid w:val="00CB433E"/>
    <w:rsid w:val="00CD46CD"/>
    <w:rsid w:val="00D35724"/>
    <w:rsid w:val="00D66F76"/>
    <w:rsid w:val="00DB2303"/>
    <w:rsid w:val="00DC25BA"/>
    <w:rsid w:val="00DD545B"/>
    <w:rsid w:val="00DD77FC"/>
    <w:rsid w:val="00E2341A"/>
    <w:rsid w:val="00E24C31"/>
    <w:rsid w:val="00E92ACF"/>
    <w:rsid w:val="00EE55C9"/>
    <w:rsid w:val="00EF0959"/>
    <w:rsid w:val="00F225EE"/>
    <w:rsid w:val="00F3656A"/>
    <w:rsid w:val="00FB28B4"/>
    <w:rsid w:val="00FF4D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BAD9F2"/>
  <w15:chartTrackingRefBased/>
  <w15:docId w15:val="{503CECEB-81E6-407A-ACCC-B9B929BE6F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23DD0"/>
    <w:rPr>
      <w:rFonts w:eastAsia="Times New Roman"/>
      <w:sz w:val="24"/>
      <w:szCs w:val="24"/>
      <w:lang w:val="en-US" w:eastAsia="en-US" w:bidi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FB28B4"/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link w:val="a3"/>
    <w:uiPriority w:val="99"/>
    <w:semiHidden/>
    <w:rsid w:val="00FB28B4"/>
    <w:rPr>
      <w:rFonts w:ascii="Tahoma" w:eastAsia="Times New Roman" w:hAnsi="Tahoma" w:cs="Tahoma"/>
      <w:sz w:val="16"/>
      <w:szCs w:val="16"/>
      <w:lang w:val="en-US" w:eastAsia="en-US" w:bidi="en-US"/>
    </w:rPr>
  </w:style>
  <w:style w:type="paragraph" w:styleId="a5">
    <w:name w:val="Normal (Web)"/>
    <w:basedOn w:val="a"/>
    <w:uiPriority w:val="99"/>
    <w:semiHidden/>
    <w:rsid w:val="00F3656A"/>
    <w:pPr>
      <w:spacing w:before="100" w:beforeAutospacing="1" w:after="119"/>
    </w:pPr>
    <w:rPr>
      <w:rFonts w:ascii="Times New Roman" w:eastAsia="Calibri" w:hAnsi="Times New Roman"/>
      <w:lang w:val="ru-RU" w:eastAsia="ru-RU" w:bidi="ar-SA"/>
    </w:rPr>
  </w:style>
  <w:style w:type="paragraph" w:customStyle="1" w:styleId="western">
    <w:name w:val="western"/>
    <w:basedOn w:val="a"/>
    <w:rsid w:val="00785DA6"/>
    <w:pPr>
      <w:spacing w:before="100" w:beforeAutospacing="1" w:after="119"/>
    </w:pPr>
    <w:rPr>
      <w:rFonts w:ascii="Times New Roman" w:hAnsi="Times New Roman"/>
      <w:lang w:val="ru-RU" w:eastAsia="ru-RU" w:bidi="ar-SA"/>
    </w:rPr>
  </w:style>
  <w:style w:type="character" w:styleId="a6">
    <w:name w:val="Hyperlink"/>
    <w:uiPriority w:val="99"/>
    <w:rsid w:val="00732CE2"/>
    <w:rPr>
      <w:color w:val="0000FF"/>
      <w:u w:val="single"/>
    </w:rPr>
  </w:style>
  <w:style w:type="table" w:styleId="a7">
    <w:name w:val="Table Grid"/>
    <w:basedOn w:val="a1"/>
    <w:uiPriority w:val="59"/>
    <w:rsid w:val="007A738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89182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64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83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769</Words>
  <Characters>4387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АВТОНОМНАЯ НЕКОММЕРЧЕСКАЯ ОРГАНИЗАЦИЯ</vt:lpstr>
    </vt:vector>
  </TitlesOfParts>
  <Company>SPecialiST RePack</Company>
  <LinksUpToDate>false</LinksUpToDate>
  <CharactersWithSpaces>5146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АВТОНОМНАЯ НЕКОММЕРЧЕСКАЯ ОРГАНИЗАЦИЯ</dc:title>
  <dc:subject/>
  <dc:creator>КП</dc:creator>
  <cp:keywords/>
  <cp:lastModifiedBy>Samolet</cp:lastModifiedBy>
  <cp:revision>3</cp:revision>
  <cp:lastPrinted>2026-06-30T09:39:00Z</cp:lastPrinted>
  <dcterms:created xsi:type="dcterms:W3CDTF">2026-08-08T19:27:00Z</dcterms:created>
  <dcterms:modified xsi:type="dcterms:W3CDTF">2026-08-08T19:30:00Z</dcterms:modified>
</cp:coreProperties>
</file>