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F8ACA" w14:textId="77777777" w:rsidR="002A7B8B" w:rsidRDefault="00000000">
      <w:pPr>
        <w:spacing w:before="240" w:after="240"/>
        <w:rPr>
          <w:b/>
        </w:rPr>
      </w:pPr>
      <w:r>
        <w:rPr>
          <w:b/>
        </w:rPr>
        <w:t>ECO423 ASSIGNMENT 2</w:t>
      </w:r>
    </w:p>
    <w:p w14:paraId="4C9C3D53" w14:textId="77777777" w:rsidR="002A7B8B" w:rsidRDefault="00000000">
      <w:pPr>
        <w:spacing w:before="240" w:after="240"/>
        <w:rPr>
          <w:b/>
        </w:rPr>
      </w:pPr>
      <w:r>
        <w:rPr>
          <w:b/>
        </w:rPr>
        <w:t>NAME - PRAGYA PURI</w:t>
      </w:r>
    </w:p>
    <w:p w14:paraId="20E9801B" w14:textId="77777777" w:rsidR="002A7B8B" w:rsidRDefault="00000000">
      <w:pPr>
        <w:spacing w:before="240" w:after="240"/>
        <w:rPr>
          <w:b/>
        </w:rPr>
      </w:pPr>
      <w:r>
        <w:rPr>
          <w:b/>
        </w:rPr>
        <w:t>ROLL- 230767</w:t>
      </w:r>
    </w:p>
    <w:p w14:paraId="38E45550" w14:textId="77777777" w:rsidR="002A7B8B" w:rsidRDefault="00000000">
      <w:pPr>
        <w:spacing w:before="240" w:after="240" w:line="240" w:lineRule="auto"/>
        <w:rPr>
          <w:b/>
        </w:rPr>
      </w:pPr>
      <w:r>
        <w:rPr>
          <w:b/>
        </w:rPr>
        <w:t>1. Which stock do you believe provides the most attractive investment</w:t>
      </w:r>
    </w:p>
    <w:p w14:paraId="2AA9BF2C" w14:textId="77777777" w:rsidR="002A7B8B" w:rsidRDefault="00000000">
      <w:pPr>
        <w:spacing w:before="240" w:after="240" w:line="240" w:lineRule="auto"/>
        <w:rPr>
          <w:b/>
        </w:rPr>
      </w:pPr>
      <w:r>
        <w:rPr>
          <w:b/>
        </w:rPr>
        <w:t>opportunity for the Cavalier Fund? Why?</w:t>
      </w:r>
    </w:p>
    <w:p w14:paraId="4D17BE0B" w14:textId="77777777" w:rsidR="002A7B8B" w:rsidRDefault="00000000">
      <w:pPr>
        <w:spacing w:before="240" w:after="240"/>
      </w:pPr>
      <w:r>
        <w:t>We have to identify the most attractive investment opportunity among four stocks—</w:t>
      </w:r>
      <w:r>
        <w:rPr>
          <w:b/>
        </w:rPr>
        <w:t>Delphi, Groupon, Kellogg, and Kinross Gold</w:t>
      </w:r>
      <w:r>
        <w:t>. For that, I have analyzed the risk-adjusted returns (Sharpe Ratio) and theoretical fair returns (CAPM) to make the best choice.</w:t>
      </w:r>
    </w:p>
    <w:p w14:paraId="22E29BA4" w14:textId="77777777" w:rsidR="002A7B8B" w:rsidRDefault="00000000">
      <w:pPr>
        <w:spacing w:before="240" w:after="240"/>
        <w:rPr>
          <w:b/>
        </w:rPr>
      </w:pPr>
      <w:r>
        <w:rPr>
          <w:b/>
        </w:rPr>
        <w:t>RISK FREE RATE AND MARKET PREMIUM</w:t>
      </w:r>
    </w:p>
    <w:p w14:paraId="6A79AEC7" w14:textId="77777777" w:rsidR="002A7B8B" w:rsidRDefault="00000000">
      <w:pPr>
        <w:spacing w:before="240" w:after="240"/>
        <w:rPr>
          <w:b/>
        </w:rPr>
      </w:pPr>
      <w:r>
        <w:rPr>
          <w:b/>
        </w:rPr>
        <w:t>1. Risk-Free Rate (Rf)</w:t>
      </w:r>
    </w:p>
    <w:p w14:paraId="5932FE14" w14:textId="77777777" w:rsidR="002A7B8B" w:rsidRDefault="00000000">
      <w:pPr>
        <w:spacing w:before="240" w:after="240"/>
      </w:pPr>
      <w:r>
        <w:t>We use the 10-year U.S. Treasury yield as the standard risk-free rate.</w:t>
      </w:r>
    </w:p>
    <w:p w14:paraId="144A33CA" w14:textId="77777777" w:rsidR="002A7B8B" w:rsidRDefault="00000000">
      <w:pPr>
        <w:spacing w:before="240" w:after="240"/>
      </w:pPr>
      <w:r>
        <w:t xml:space="preserve">10-year Treasury Yield = </w:t>
      </w:r>
      <w:r>
        <w:rPr>
          <w:b/>
        </w:rPr>
        <w:t>2.34% annually</w:t>
      </w:r>
      <w:r>
        <w:t>(Apr 6, 2017)</w:t>
      </w:r>
    </w:p>
    <w:p w14:paraId="7DB17CC8" w14:textId="77777777" w:rsidR="002A7B8B" w:rsidRDefault="00000000">
      <w:pPr>
        <w:spacing w:before="240" w:after="240"/>
        <w:rPr>
          <w:b/>
        </w:rPr>
      </w:pPr>
      <w:r>
        <w:rPr>
          <w:b/>
        </w:rPr>
        <w:t>2. Market Risk Premium (MRP)</w:t>
      </w:r>
    </w:p>
    <w:p w14:paraId="1D0D11E6" w14:textId="77777777" w:rsidR="002A7B8B" w:rsidRDefault="00000000">
      <w:pPr>
        <w:spacing w:before="240" w:after="240"/>
      </w:pPr>
      <w:r>
        <w:t>From the monthly return data for S&amp;P 500:</w:t>
      </w:r>
    </w:p>
    <w:p w14:paraId="1974672B" w14:textId="77777777" w:rsidR="002A7B8B" w:rsidRDefault="00000000">
      <w:pPr>
        <w:numPr>
          <w:ilvl w:val="0"/>
          <w:numId w:val="11"/>
        </w:numPr>
      </w:pPr>
      <w:r>
        <w:rPr>
          <w:rFonts w:ascii="Arial Unicode MS" w:eastAsia="Arial Unicode MS" w:hAnsi="Arial Unicode MS" w:cs="Arial Unicode MS"/>
        </w:rPr>
        <w:t xml:space="preserve">Mean monthly market return ≈ </w:t>
      </w:r>
      <w:r>
        <w:rPr>
          <w:b/>
        </w:rPr>
        <w:t>1.04%</w:t>
      </w:r>
    </w:p>
    <w:p w14:paraId="21A6A275" w14:textId="77777777" w:rsidR="002A7B8B" w:rsidRDefault="00000000">
      <w:pPr>
        <w:numPr>
          <w:ilvl w:val="0"/>
          <w:numId w:val="11"/>
        </w:numPr>
        <w:spacing w:after="240"/>
      </w:pPr>
      <w:r>
        <w:t xml:space="preserve">Annualized return: </w:t>
      </w:r>
      <w:r>
        <w:rPr>
          <w:b/>
        </w:rPr>
        <w:t>11.6%</w:t>
      </w:r>
    </w:p>
    <w:p w14:paraId="10B32112" w14:textId="77777777" w:rsidR="002A7B8B" w:rsidRDefault="00000000">
      <w:pPr>
        <w:spacing w:after="240"/>
        <w:rPr>
          <w:b/>
        </w:rPr>
      </w:pPr>
      <w:r>
        <w:rPr>
          <w:rFonts w:ascii="Arial Unicode MS" w:eastAsia="Arial Unicode MS" w:hAnsi="Arial Unicode MS" w:cs="Arial Unicode MS"/>
        </w:rPr>
        <w:t>Market Risk Premium=11.6%−2.34%=</w:t>
      </w:r>
      <w:r>
        <w:rPr>
          <w:b/>
        </w:rPr>
        <w:t>9.26%</w:t>
      </w:r>
    </w:p>
    <w:p w14:paraId="43087CB7" w14:textId="77777777" w:rsidR="002A7B8B" w:rsidRDefault="00000000">
      <w:pPr>
        <w:spacing w:before="240" w:after="240"/>
        <w:rPr>
          <w:b/>
        </w:rPr>
      </w:pPr>
      <w:r>
        <w:rPr>
          <w:b/>
        </w:rPr>
        <w:t>GIVEN DATA</w:t>
      </w:r>
    </w:p>
    <w:tbl>
      <w:tblPr>
        <w:tblStyle w:val="a"/>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65"/>
        <w:gridCol w:w="3006"/>
        <w:gridCol w:w="3484"/>
        <w:gridCol w:w="1405"/>
      </w:tblGrid>
      <w:tr w:rsidR="002A7B8B" w14:paraId="6692349D" w14:textId="77777777">
        <w:trPr>
          <w:trHeight w:val="450"/>
        </w:trPr>
        <w:tc>
          <w:tcPr>
            <w:tcW w:w="146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7A555C4" w14:textId="77777777" w:rsidR="002A7B8B" w:rsidRDefault="00000000">
            <w:pPr>
              <w:spacing w:before="240" w:after="160" w:line="256" w:lineRule="auto"/>
              <w:rPr>
                <w:b/>
              </w:rPr>
            </w:pPr>
            <w:r>
              <w:rPr>
                <w:b/>
              </w:rPr>
              <w:t>Stock</w:t>
            </w:r>
          </w:p>
        </w:tc>
        <w:tc>
          <w:tcPr>
            <w:tcW w:w="300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CD81F83" w14:textId="77777777" w:rsidR="002A7B8B" w:rsidRDefault="00000000">
            <w:pPr>
              <w:spacing w:before="240" w:after="160" w:line="256" w:lineRule="auto"/>
              <w:rPr>
                <w:b/>
              </w:rPr>
            </w:pPr>
            <w:r>
              <w:rPr>
                <w:b/>
              </w:rPr>
              <w:t>Anticipated Return</w:t>
            </w:r>
          </w:p>
        </w:tc>
        <w:tc>
          <w:tcPr>
            <w:tcW w:w="3483"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A3DC03A" w14:textId="77777777" w:rsidR="002A7B8B" w:rsidRDefault="00000000">
            <w:pPr>
              <w:spacing w:before="240" w:after="160" w:line="256" w:lineRule="auto"/>
              <w:rPr>
                <w:b/>
              </w:rPr>
            </w:pPr>
            <w:r>
              <w:rPr>
                <w:b/>
              </w:rPr>
              <w:t>Standard Deviation (σ)</w:t>
            </w:r>
          </w:p>
        </w:tc>
        <w:tc>
          <w:tcPr>
            <w:tcW w:w="140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E045087" w14:textId="77777777" w:rsidR="002A7B8B" w:rsidRDefault="00000000">
            <w:pPr>
              <w:spacing w:before="240" w:after="160" w:line="256" w:lineRule="auto"/>
              <w:rPr>
                <w:b/>
              </w:rPr>
            </w:pPr>
            <w:r>
              <w:rPr>
                <w:b/>
              </w:rPr>
              <w:t>Beta (β)</w:t>
            </w:r>
          </w:p>
        </w:tc>
      </w:tr>
      <w:tr w:rsidR="002A7B8B" w14:paraId="7D3CF495" w14:textId="77777777">
        <w:trPr>
          <w:trHeight w:val="465"/>
        </w:trPr>
        <w:tc>
          <w:tcPr>
            <w:tcW w:w="14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1F9689E" w14:textId="77777777" w:rsidR="002A7B8B" w:rsidRDefault="00000000">
            <w:pPr>
              <w:spacing w:before="240" w:after="160" w:line="256" w:lineRule="auto"/>
            </w:pPr>
            <w:r>
              <w:t>Delphi</w:t>
            </w:r>
          </w:p>
        </w:tc>
        <w:tc>
          <w:tcPr>
            <w:tcW w:w="3005" w:type="dxa"/>
            <w:tcBorders>
              <w:top w:val="nil"/>
              <w:left w:val="nil"/>
              <w:bottom w:val="single" w:sz="5" w:space="0" w:color="000000"/>
              <w:right w:val="single" w:sz="5" w:space="0" w:color="000000"/>
            </w:tcBorders>
            <w:tcMar>
              <w:top w:w="0" w:type="dxa"/>
              <w:left w:w="100" w:type="dxa"/>
              <w:bottom w:w="0" w:type="dxa"/>
              <w:right w:w="100" w:type="dxa"/>
            </w:tcMar>
          </w:tcPr>
          <w:p w14:paraId="282F395C" w14:textId="77777777" w:rsidR="002A7B8B" w:rsidRDefault="00000000">
            <w:pPr>
              <w:spacing w:before="240" w:after="160" w:line="256" w:lineRule="auto"/>
            </w:pPr>
            <w:r>
              <w:t>9.1%</w:t>
            </w:r>
          </w:p>
        </w:tc>
        <w:tc>
          <w:tcPr>
            <w:tcW w:w="3483" w:type="dxa"/>
            <w:tcBorders>
              <w:top w:val="nil"/>
              <w:left w:val="nil"/>
              <w:bottom w:val="single" w:sz="5" w:space="0" w:color="000000"/>
              <w:right w:val="single" w:sz="5" w:space="0" w:color="000000"/>
            </w:tcBorders>
            <w:tcMar>
              <w:top w:w="0" w:type="dxa"/>
              <w:left w:w="100" w:type="dxa"/>
              <w:bottom w:w="0" w:type="dxa"/>
              <w:right w:w="100" w:type="dxa"/>
            </w:tcMar>
          </w:tcPr>
          <w:p w14:paraId="36B84E99" w14:textId="77777777" w:rsidR="002A7B8B" w:rsidRDefault="00000000">
            <w:pPr>
              <w:spacing w:before="240" w:after="160" w:line="256" w:lineRule="auto"/>
            </w:pPr>
            <w:r>
              <w:t>24.6%</w:t>
            </w:r>
          </w:p>
        </w:tc>
        <w:tc>
          <w:tcPr>
            <w:tcW w:w="1405" w:type="dxa"/>
            <w:tcBorders>
              <w:top w:val="nil"/>
              <w:left w:val="nil"/>
              <w:bottom w:val="single" w:sz="5" w:space="0" w:color="000000"/>
              <w:right w:val="single" w:sz="5" w:space="0" w:color="000000"/>
            </w:tcBorders>
            <w:tcMar>
              <w:top w:w="0" w:type="dxa"/>
              <w:left w:w="100" w:type="dxa"/>
              <w:bottom w:w="0" w:type="dxa"/>
              <w:right w:w="100" w:type="dxa"/>
            </w:tcMar>
          </w:tcPr>
          <w:p w14:paraId="57AC04B2" w14:textId="77777777" w:rsidR="002A7B8B" w:rsidRDefault="00000000">
            <w:pPr>
              <w:spacing w:before="240" w:after="160" w:line="256" w:lineRule="auto"/>
            </w:pPr>
            <w:r>
              <w:t>1.29</w:t>
            </w:r>
          </w:p>
        </w:tc>
      </w:tr>
      <w:tr w:rsidR="002A7B8B" w14:paraId="47324519" w14:textId="77777777">
        <w:trPr>
          <w:trHeight w:val="450"/>
        </w:trPr>
        <w:tc>
          <w:tcPr>
            <w:tcW w:w="14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67FE2C1" w14:textId="77777777" w:rsidR="002A7B8B" w:rsidRDefault="00000000">
            <w:pPr>
              <w:spacing w:before="240" w:after="160" w:line="256" w:lineRule="auto"/>
            </w:pPr>
            <w:r>
              <w:t>Groupon</w:t>
            </w:r>
          </w:p>
        </w:tc>
        <w:tc>
          <w:tcPr>
            <w:tcW w:w="3005" w:type="dxa"/>
            <w:tcBorders>
              <w:top w:val="nil"/>
              <w:left w:val="nil"/>
              <w:bottom w:val="single" w:sz="5" w:space="0" w:color="000000"/>
              <w:right w:val="single" w:sz="5" w:space="0" w:color="000000"/>
            </w:tcBorders>
            <w:tcMar>
              <w:top w:w="0" w:type="dxa"/>
              <w:left w:w="100" w:type="dxa"/>
              <w:bottom w:w="0" w:type="dxa"/>
              <w:right w:w="100" w:type="dxa"/>
            </w:tcMar>
          </w:tcPr>
          <w:p w14:paraId="132ACBE0" w14:textId="77777777" w:rsidR="002A7B8B" w:rsidRDefault="00000000">
            <w:pPr>
              <w:spacing w:before="240" w:after="160" w:line="256" w:lineRule="auto"/>
            </w:pPr>
            <w:r>
              <w:t>9.3%</w:t>
            </w:r>
          </w:p>
        </w:tc>
        <w:tc>
          <w:tcPr>
            <w:tcW w:w="3483" w:type="dxa"/>
            <w:tcBorders>
              <w:top w:val="nil"/>
              <w:left w:val="nil"/>
              <w:bottom w:val="single" w:sz="5" w:space="0" w:color="000000"/>
              <w:right w:val="single" w:sz="5" w:space="0" w:color="000000"/>
            </w:tcBorders>
            <w:tcMar>
              <w:top w:w="0" w:type="dxa"/>
              <w:left w:w="100" w:type="dxa"/>
              <w:bottom w:w="0" w:type="dxa"/>
              <w:right w:w="100" w:type="dxa"/>
            </w:tcMar>
          </w:tcPr>
          <w:p w14:paraId="6BDC07F8" w14:textId="77777777" w:rsidR="002A7B8B" w:rsidRDefault="00000000">
            <w:pPr>
              <w:spacing w:before="240" w:after="160" w:line="256" w:lineRule="auto"/>
            </w:pPr>
            <w:r>
              <w:t>67.1%</w:t>
            </w:r>
          </w:p>
        </w:tc>
        <w:tc>
          <w:tcPr>
            <w:tcW w:w="1405" w:type="dxa"/>
            <w:tcBorders>
              <w:top w:val="nil"/>
              <w:left w:val="nil"/>
              <w:bottom w:val="single" w:sz="5" w:space="0" w:color="000000"/>
              <w:right w:val="single" w:sz="5" w:space="0" w:color="000000"/>
            </w:tcBorders>
            <w:tcMar>
              <w:top w:w="0" w:type="dxa"/>
              <w:left w:w="100" w:type="dxa"/>
              <w:bottom w:w="0" w:type="dxa"/>
              <w:right w:w="100" w:type="dxa"/>
            </w:tcMar>
          </w:tcPr>
          <w:p w14:paraId="732AACC0" w14:textId="77777777" w:rsidR="002A7B8B" w:rsidRDefault="00000000">
            <w:pPr>
              <w:spacing w:before="240" w:after="160" w:line="256" w:lineRule="auto"/>
            </w:pPr>
            <w:r>
              <w:t>1.44</w:t>
            </w:r>
          </w:p>
        </w:tc>
      </w:tr>
      <w:tr w:rsidR="002A7B8B" w14:paraId="5E920555" w14:textId="77777777">
        <w:trPr>
          <w:trHeight w:val="450"/>
        </w:trPr>
        <w:tc>
          <w:tcPr>
            <w:tcW w:w="14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E91B9F4" w14:textId="77777777" w:rsidR="002A7B8B" w:rsidRDefault="00000000">
            <w:pPr>
              <w:spacing w:before="240" w:after="160" w:line="256" w:lineRule="auto"/>
            </w:pPr>
            <w:r>
              <w:t>Kellogg</w:t>
            </w:r>
          </w:p>
        </w:tc>
        <w:tc>
          <w:tcPr>
            <w:tcW w:w="3005" w:type="dxa"/>
            <w:tcBorders>
              <w:top w:val="nil"/>
              <w:left w:val="nil"/>
              <w:bottom w:val="single" w:sz="5" w:space="0" w:color="000000"/>
              <w:right w:val="single" w:sz="5" w:space="0" w:color="000000"/>
            </w:tcBorders>
            <w:tcMar>
              <w:top w:w="0" w:type="dxa"/>
              <w:left w:w="100" w:type="dxa"/>
              <w:bottom w:w="0" w:type="dxa"/>
              <w:right w:w="100" w:type="dxa"/>
            </w:tcMar>
          </w:tcPr>
          <w:p w14:paraId="6797B8BA" w14:textId="77777777" w:rsidR="002A7B8B" w:rsidRDefault="00000000">
            <w:pPr>
              <w:spacing w:before="240" w:after="160" w:line="256" w:lineRule="auto"/>
            </w:pPr>
            <w:r>
              <w:t>4.6%</w:t>
            </w:r>
          </w:p>
        </w:tc>
        <w:tc>
          <w:tcPr>
            <w:tcW w:w="3483" w:type="dxa"/>
            <w:tcBorders>
              <w:top w:val="nil"/>
              <w:left w:val="nil"/>
              <w:bottom w:val="single" w:sz="5" w:space="0" w:color="000000"/>
              <w:right w:val="single" w:sz="5" w:space="0" w:color="000000"/>
            </w:tcBorders>
            <w:tcMar>
              <w:top w:w="0" w:type="dxa"/>
              <w:left w:w="100" w:type="dxa"/>
              <w:bottom w:w="0" w:type="dxa"/>
              <w:right w:w="100" w:type="dxa"/>
            </w:tcMar>
          </w:tcPr>
          <w:p w14:paraId="4296B7C6" w14:textId="77777777" w:rsidR="002A7B8B" w:rsidRDefault="00000000">
            <w:pPr>
              <w:spacing w:before="240" w:after="160" w:line="256" w:lineRule="auto"/>
            </w:pPr>
            <w:r>
              <w:t>14.6%</w:t>
            </w:r>
          </w:p>
        </w:tc>
        <w:tc>
          <w:tcPr>
            <w:tcW w:w="1405" w:type="dxa"/>
            <w:tcBorders>
              <w:top w:val="nil"/>
              <w:left w:val="nil"/>
              <w:bottom w:val="single" w:sz="5" w:space="0" w:color="000000"/>
              <w:right w:val="single" w:sz="5" w:space="0" w:color="000000"/>
            </w:tcBorders>
            <w:tcMar>
              <w:top w:w="0" w:type="dxa"/>
              <w:left w:w="100" w:type="dxa"/>
              <w:bottom w:w="0" w:type="dxa"/>
              <w:right w:w="100" w:type="dxa"/>
            </w:tcMar>
          </w:tcPr>
          <w:p w14:paraId="2B14F89A" w14:textId="77777777" w:rsidR="002A7B8B" w:rsidRDefault="00000000">
            <w:pPr>
              <w:spacing w:before="240" w:after="160" w:line="256" w:lineRule="auto"/>
            </w:pPr>
            <w:r>
              <w:t>0.54</w:t>
            </w:r>
          </w:p>
        </w:tc>
      </w:tr>
      <w:tr w:rsidR="002A7B8B" w14:paraId="6C035AA5" w14:textId="77777777">
        <w:trPr>
          <w:trHeight w:val="450"/>
        </w:trPr>
        <w:tc>
          <w:tcPr>
            <w:tcW w:w="146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2E38278" w14:textId="77777777" w:rsidR="002A7B8B" w:rsidRDefault="00000000">
            <w:pPr>
              <w:spacing w:before="240" w:after="160" w:line="256" w:lineRule="auto"/>
            </w:pPr>
            <w:r>
              <w:t>Kinross</w:t>
            </w:r>
          </w:p>
        </w:tc>
        <w:tc>
          <w:tcPr>
            <w:tcW w:w="3005" w:type="dxa"/>
            <w:tcBorders>
              <w:top w:val="nil"/>
              <w:left w:val="nil"/>
              <w:bottom w:val="single" w:sz="5" w:space="0" w:color="000000"/>
              <w:right w:val="single" w:sz="5" w:space="0" w:color="000000"/>
            </w:tcBorders>
            <w:tcMar>
              <w:top w:w="0" w:type="dxa"/>
              <w:left w:w="100" w:type="dxa"/>
              <w:bottom w:w="0" w:type="dxa"/>
              <w:right w:w="100" w:type="dxa"/>
            </w:tcMar>
          </w:tcPr>
          <w:p w14:paraId="0D11015A" w14:textId="77777777" w:rsidR="002A7B8B" w:rsidRDefault="00000000">
            <w:pPr>
              <w:spacing w:before="240" w:after="160" w:line="256" w:lineRule="auto"/>
            </w:pPr>
            <w:r>
              <w:t>8.4%</w:t>
            </w:r>
          </w:p>
        </w:tc>
        <w:tc>
          <w:tcPr>
            <w:tcW w:w="3483" w:type="dxa"/>
            <w:tcBorders>
              <w:top w:val="nil"/>
              <w:left w:val="nil"/>
              <w:bottom w:val="single" w:sz="5" w:space="0" w:color="000000"/>
              <w:right w:val="single" w:sz="5" w:space="0" w:color="000000"/>
            </w:tcBorders>
            <w:tcMar>
              <w:top w:w="0" w:type="dxa"/>
              <w:left w:w="100" w:type="dxa"/>
              <w:bottom w:w="0" w:type="dxa"/>
              <w:right w:w="100" w:type="dxa"/>
            </w:tcMar>
          </w:tcPr>
          <w:p w14:paraId="606D7F4F" w14:textId="77777777" w:rsidR="002A7B8B" w:rsidRDefault="00000000">
            <w:pPr>
              <w:spacing w:before="240" w:after="160" w:line="256" w:lineRule="auto"/>
            </w:pPr>
            <w:r>
              <w:t>65.0%</w:t>
            </w:r>
          </w:p>
        </w:tc>
        <w:tc>
          <w:tcPr>
            <w:tcW w:w="1405" w:type="dxa"/>
            <w:tcBorders>
              <w:top w:val="nil"/>
              <w:left w:val="nil"/>
              <w:bottom w:val="single" w:sz="5" w:space="0" w:color="000000"/>
              <w:right w:val="single" w:sz="5" w:space="0" w:color="000000"/>
            </w:tcBorders>
            <w:tcMar>
              <w:top w:w="0" w:type="dxa"/>
              <w:left w:w="100" w:type="dxa"/>
              <w:bottom w:w="0" w:type="dxa"/>
              <w:right w:w="100" w:type="dxa"/>
            </w:tcMar>
          </w:tcPr>
          <w:p w14:paraId="63B9DA94" w14:textId="77777777" w:rsidR="002A7B8B" w:rsidRDefault="00000000">
            <w:pPr>
              <w:spacing w:before="240" w:after="160" w:line="256" w:lineRule="auto"/>
            </w:pPr>
            <w:r>
              <w:t>0.31</w:t>
            </w:r>
          </w:p>
        </w:tc>
      </w:tr>
    </w:tbl>
    <w:p w14:paraId="57B967F2" w14:textId="77777777" w:rsidR="002A7B8B" w:rsidRDefault="002A7B8B">
      <w:pPr>
        <w:spacing w:before="240" w:after="240"/>
      </w:pPr>
    </w:p>
    <w:p w14:paraId="7ED5A06D" w14:textId="77777777" w:rsidR="002A7B8B" w:rsidRDefault="00000000">
      <w:pPr>
        <w:spacing w:before="240" w:after="240"/>
        <w:rPr>
          <w:b/>
        </w:rPr>
      </w:pPr>
      <w:r>
        <w:rPr>
          <w:b/>
        </w:rPr>
        <w:lastRenderedPageBreak/>
        <w:t>CALCULATION OF SHARPE RATIO AND CAPM RETURNS</w:t>
      </w:r>
    </w:p>
    <w:tbl>
      <w:tblPr>
        <w:tblStyle w:val="a0"/>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13"/>
        <w:gridCol w:w="3105"/>
        <w:gridCol w:w="2433"/>
        <w:gridCol w:w="2209"/>
      </w:tblGrid>
      <w:tr w:rsidR="002A7B8B" w14:paraId="72804256" w14:textId="77777777">
        <w:trPr>
          <w:trHeight w:val="435"/>
        </w:trPr>
        <w:tc>
          <w:tcPr>
            <w:tcW w:w="1612"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4787CEB" w14:textId="77777777" w:rsidR="002A7B8B" w:rsidRDefault="00000000">
            <w:pPr>
              <w:spacing w:before="240" w:after="160" w:line="256" w:lineRule="auto"/>
              <w:rPr>
                <w:b/>
              </w:rPr>
            </w:pPr>
            <w:r>
              <w:rPr>
                <w:b/>
              </w:rPr>
              <w:t>Stock</w:t>
            </w:r>
          </w:p>
        </w:tc>
        <w:tc>
          <w:tcPr>
            <w:tcW w:w="310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D5D1F01" w14:textId="77777777" w:rsidR="002A7B8B" w:rsidRDefault="00000000">
            <w:pPr>
              <w:spacing w:before="240" w:after="160" w:line="256" w:lineRule="auto"/>
              <w:rPr>
                <w:b/>
              </w:rPr>
            </w:pPr>
            <w:r>
              <w:rPr>
                <w:b/>
              </w:rPr>
              <w:t>Anticipated Return</w:t>
            </w:r>
          </w:p>
        </w:tc>
        <w:tc>
          <w:tcPr>
            <w:tcW w:w="2433"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87B6F2F" w14:textId="77777777" w:rsidR="002A7B8B" w:rsidRDefault="00000000">
            <w:pPr>
              <w:spacing w:before="240" w:after="160" w:line="256" w:lineRule="auto"/>
              <w:rPr>
                <w:b/>
              </w:rPr>
            </w:pPr>
            <w:r>
              <w:rPr>
                <w:b/>
              </w:rPr>
              <w:t>CAPM Return</w:t>
            </w:r>
          </w:p>
        </w:tc>
        <w:tc>
          <w:tcPr>
            <w:tcW w:w="2209"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26547CD" w14:textId="77777777" w:rsidR="002A7B8B" w:rsidRDefault="00000000">
            <w:pPr>
              <w:spacing w:before="240" w:after="160" w:line="256" w:lineRule="auto"/>
              <w:rPr>
                <w:b/>
              </w:rPr>
            </w:pPr>
            <w:r>
              <w:rPr>
                <w:b/>
              </w:rPr>
              <w:t>Sharpe Ratio</w:t>
            </w:r>
          </w:p>
        </w:tc>
      </w:tr>
      <w:tr w:rsidR="002A7B8B" w14:paraId="15E3A228" w14:textId="77777777">
        <w:trPr>
          <w:trHeight w:val="450"/>
        </w:trPr>
        <w:tc>
          <w:tcPr>
            <w:tcW w:w="1612"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D7DC64B" w14:textId="77777777" w:rsidR="002A7B8B" w:rsidRDefault="00000000">
            <w:pPr>
              <w:spacing w:before="240" w:after="160" w:line="256" w:lineRule="auto"/>
              <w:rPr>
                <w:b/>
              </w:rPr>
            </w:pPr>
            <w:r>
              <w:rPr>
                <w:b/>
              </w:rPr>
              <w:t>Delphi</w:t>
            </w:r>
          </w:p>
        </w:tc>
        <w:tc>
          <w:tcPr>
            <w:tcW w:w="3105" w:type="dxa"/>
            <w:tcBorders>
              <w:top w:val="nil"/>
              <w:left w:val="nil"/>
              <w:bottom w:val="single" w:sz="5" w:space="0" w:color="000000"/>
              <w:right w:val="single" w:sz="5" w:space="0" w:color="000000"/>
            </w:tcBorders>
            <w:tcMar>
              <w:top w:w="0" w:type="dxa"/>
              <w:left w:w="100" w:type="dxa"/>
              <w:bottom w:w="0" w:type="dxa"/>
              <w:right w:w="100" w:type="dxa"/>
            </w:tcMar>
          </w:tcPr>
          <w:p w14:paraId="1D2CF833" w14:textId="77777777" w:rsidR="002A7B8B" w:rsidRDefault="00000000">
            <w:pPr>
              <w:spacing w:before="240" w:after="160" w:line="256" w:lineRule="auto"/>
            </w:pPr>
            <w:r>
              <w:t>9.10%</w:t>
            </w:r>
          </w:p>
        </w:tc>
        <w:tc>
          <w:tcPr>
            <w:tcW w:w="2433" w:type="dxa"/>
            <w:tcBorders>
              <w:top w:val="nil"/>
              <w:left w:val="nil"/>
              <w:bottom w:val="single" w:sz="5" w:space="0" w:color="000000"/>
              <w:right w:val="single" w:sz="5" w:space="0" w:color="000000"/>
            </w:tcBorders>
            <w:tcMar>
              <w:top w:w="0" w:type="dxa"/>
              <w:left w:w="100" w:type="dxa"/>
              <w:bottom w:w="0" w:type="dxa"/>
              <w:right w:w="100" w:type="dxa"/>
            </w:tcMar>
          </w:tcPr>
          <w:p w14:paraId="613A84E8" w14:textId="77777777" w:rsidR="002A7B8B" w:rsidRDefault="00000000">
            <w:pPr>
              <w:spacing w:before="240" w:after="160" w:line="256" w:lineRule="auto"/>
            </w:pPr>
            <w:r>
              <w:t>14.28%</w:t>
            </w:r>
          </w:p>
        </w:tc>
        <w:tc>
          <w:tcPr>
            <w:tcW w:w="2209" w:type="dxa"/>
            <w:tcBorders>
              <w:top w:val="nil"/>
              <w:left w:val="nil"/>
              <w:bottom w:val="single" w:sz="5" w:space="0" w:color="000000"/>
              <w:right w:val="single" w:sz="5" w:space="0" w:color="000000"/>
            </w:tcBorders>
            <w:tcMar>
              <w:top w:w="0" w:type="dxa"/>
              <w:left w:w="100" w:type="dxa"/>
              <w:bottom w:w="0" w:type="dxa"/>
              <w:right w:w="100" w:type="dxa"/>
            </w:tcMar>
          </w:tcPr>
          <w:p w14:paraId="1D09A3F5" w14:textId="77777777" w:rsidR="002A7B8B" w:rsidRDefault="00000000">
            <w:pPr>
              <w:spacing w:before="240" w:after="160" w:line="256" w:lineRule="auto"/>
            </w:pPr>
            <w:r>
              <w:t>0.27</w:t>
            </w:r>
          </w:p>
        </w:tc>
      </w:tr>
      <w:tr w:rsidR="002A7B8B" w14:paraId="53E12208" w14:textId="77777777">
        <w:trPr>
          <w:trHeight w:val="435"/>
        </w:trPr>
        <w:tc>
          <w:tcPr>
            <w:tcW w:w="1612"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8D09C31" w14:textId="77777777" w:rsidR="002A7B8B" w:rsidRDefault="00000000">
            <w:pPr>
              <w:spacing w:before="240" w:after="160" w:line="256" w:lineRule="auto"/>
              <w:rPr>
                <w:b/>
              </w:rPr>
            </w:pPr>
            <w:r>
              <w:rPr>
                <w:b/>
              </w:rPr>
              <w:t>Groupon</w:t>
            </w:r>
          </w:p>
        </w:tc>
        <w:tc>
          <w:tcPr>
            <w:tcW w:w="3105" w:type="dxa"/>
            <w:tcBorders>
              <w:top w:val="nil"/>
              <w:left w:val="nil"/>
              <w:bottom w:val="single" w:sz="5" w:space="0" w:color="000000"/>
              <w:right w:val="single" w:sz="5" w:space="0" w:color="000000"/>
            </w:tcBorders>
            <w:tcMar>
              <w:top w:w="0" w:type="dxa"/>
              <w:left w:w="100" w:type="dxa"/>
              <w:bottom w:w="0" w:type="dxa"/>
              <w:right w:w="100" w:type="dxa"/>
            </w:tcMar>
          </w:tcPr>
          <w:p w14:paraId="5604DE77" w14:textId="77777777" w:rsidR="002A7B8B" w:rsidRDefault="00000000">
            <w:pPr>
              <w:spacing w:before="240" w:after="160" w:line="256" w:lineRule="auto"/>
            </w:pPr>
            <w:r>
              <w:t>9.30%</w:t>
            </w:r>
          </w:p>
        </w:tc>
        <w:tc>
          <w:tcPr>
            <w:tcW w:w="2433" w:type="dxa"/>
            <w:tcBorders>
              <w:top w:val="nil"/>
              <w:left w:val="nil"/>
              <w:bottom w:val="single" w:sz="5" w:space="0" w:color="000000"/>
              <w:right w:val="single" w:sz="5" w:space="0" w:color="000000"/>
            </w:tcBorders>
            <w:tcMar>
              <w:top w:w="0" w:type="dxa"/>
              <w:left w:w="100" w:type="dxa"/>
              <w:bottom w:w="0" w:type="dxa"/>
              <w:right w:w="100" w:type="dxa"/>
            </w:tcMar>
          </w:tcPr>
          <w:p w14:paraId="13D74CD5" w14:textId="77777777" w:rsidR="002A7B8B" w:rsidRDefault="00000000">
            <w:pPr>
              <w:spacing w:before="240" w:after="160" w:line="256" w:lineRule="auto"/>
            </w:pPr>
            <w:r>
              <w:t>15.46%</w:t>
            </w:r>
          </w:p>
        </w:tc>
        <w:tc>
          <w:tcPr>
            <w:tcW w:w="2209" w:type="dxa"/>
            <w:tcBorders>
              <w:top w:val="nil"/>
              <w:left w:val="nil"/>
              <w:bottom w:val="single" w:sz="5" w:space="0" w:color="000000"/>
              <w:right w:val="single" w:sz="5" w:space="0" w:color="000000"/>
            </w:tcBorders>
            <w:tcMar>
              <w:top w:w="0" w:type="dxa"/>
              <w:left w:w="100" w:type="dxa"/>
              <w:bottom w:w="0" w:type="dxa"/>
              <w:right w:w="100" w:type="dxa"/>
            </w:tcMar>
          </w:tcPr>
          <w:p w14:paraId="45AB3370" w14:textId="77777777" w:rsidR="002A7B8B" w:rsidRDefault="00000000">
            <w:pPr>
              <w:spacing w:before="240" w:after="160" w:line="256" w:lineRule="auto"/>
            </w:pPr>
            <w:r>
              <w:t>0.10</w:t>
            </w:r>
          </w:p>
        </w:tc>
      </w:tr>
      <w:tr w:rsidR="002A7B8B" w14:paraId="0667B21B" w14:textId="77777777">
        <w:trPr>
          <w:trHeight w:val="435"/>
        </w:trPr>
        <w:tc>
          <w:tcPr>
            <w:tcW w:w="1612"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EE37EA5" w14:textId="77777777" w:rsidR="002A7B8B" w:rsidRDefault="00000000">
            <w:pPr>
              <w:spacing w:before="240" w:after="160" w:line="256" w:lineRule="auto"/>
              <w:rPr>
                <w:b/>
              </w:rPr>
            </w:pPr>
            <w:r>
              <w:rPr>
                <w:b/>
              </w:rPr>
              <w:t>Kellogg</w:t>
            </w:r>
          </w:p>
        </w:tc>
        <w:tc>
          <w:tcPr>
            <w:tcW w:w="3105" w:type="dxa"/>
            <w:tcBorders>
              <w:top w:val="nil"/>
              <w:left w:val="nil"/>
              <w:bottom w:val="single" w:sz="5" w:space="0" w:color="000000"/>
              <w:right w:val="single" w:sz="5" w:space="0" w:color="000000"/>
            </w:tcBorders>
            <w:tcMar>
              <w:top w:w="0" w:type="dxa"/>
              <w:left w:w="100" w:type="dxa"/>
              <w:bottom w:w="0" w:type="dxa"/>
              <w:right w:w="100" w:type="dxa"/>
            </w:tcMar>
          </w:tcPr>
          <w:p w14:paraId="787E75CD" w14:textId="77777777" w:rsidR="002A7B8B" w:rsidRDefault="00000000">
            <w:pPr>
              <w:spacing w:before="240" w:after="160" w:line="256" w:lineRule="auto"/>
            </w:pPr>
            <w:r>
              <w:t>4.60%</w:t>
            </w:r>
          </w:p>
        </w:tc>
        <w:tc>
          <w:tcPr>
            <w:tcW w:w="2433" w:type="dxa"/>
            <w:tcBorders>
              <w:top w:val="nil"/>
              <w:left w:val="nil"/>
              <w:bottom w:val="single" w:sz="5" w:space="0" w:color="000000"/>
              <w:right w:val="single" w:sz="5" w:space="0" w:color="000000"/>
            </w:tcBorders>
            <w:tcMar>
              <w:top w:w="0" w:type="dxa"/>
              <w:left w:w="100" w:type="dxa"/>
              <w:bottom w:w="0" w:type="dxa"/>
              <w:right w:w="100" w:type="dxa"/>
            </w:tcMar>
          </w:tcPr>
          <w:p w14:paraId="267A2F09" w14:textId="77777777" w:rsidR="002A7B8B" w:rsidRDefault="00000000">
            <w:pPr>
              <w:spacing w:before="240" w:after="160" w:line="256" w:lineRule="auto"/>
            </w:pPr>
            <w:r>
              <w:t>6.83%</w:t>
            </w:r>
          </w:p>
        </w:tc>
        <w:tc>
          <w:tcPr>
            <w:tcW w:w="2209" w:type="dxa"/>
            <w:tcBorders>
              <w:top w:val="nil"/>
              <w:left w:val="nil"/>
              <w:bottom w:val="single" w:sz="5" w:space="0" w:color="000000"/>
              <w:right w:val="single" w:sz="5" w:space="0" w:color="000000"/>
            </w:tcBorders>
            <w:tcMar>
              <w:top w:w="0" w:type="dxa"/>
              <w:left w:w="100" w:type="dxa"/>
              <w:bottom w:w="0" w:type="dxa"/>
              <w:right w:w="100" w:type="dxa"/>
            </w:tcMar>
          </w:tcPr>
          <w:p w14:paraId="386B45F6" w14:textId="77777777" w:rsidR="002A7B8B" w:rsidRDefault="00000000">
            <w:pPr>
              <w:spacing w:before="240" w:after="160" w:line="256" w:lineRule="auto"/>
            </w:pPr>
            <w:r>
              <w:t>0.15</w:t>
            </w:r>
          </w:p>
        </w:tc>
      </w:tr>
      <w:tr w:rsidR="002A7B8B" w14:paraId="1DA620AC" w14:textId="77777777">
        <w:trPr>
          <w:trHeight w:val="435"/>
        </w:trPr>
        <w:tc>
          <w:tcPr>
            <w:tcW w:w="1612"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3287113" w14:textId="77777777" w:rsidR="002A7B8B" w:rsidRDefault="00000000">
            <w:pPr>
              <w:spacing w:before="240" w:after="160" w:line="256" w:lineRule="auto"/>
              <w:rPr>
                <w:b/>
              </w:rPr>
            </w:pPr>
            <w:r>
              <w:rPr>
                <w:b/>
              </w:rPr>
              <w:t>Kinross</w:t>
            </w:r>
          </w:p>
        </w:tc>
        <w:tc>
          <w:tcPr>
            <w:tcW w:w="3105" w:type="dxa"/>
            <w:tcBorders>
              <w:top w:val="nil"/>
              <w:left w:val="nil"/>
              <w:bottom w:val="single" w:sz="5" w:space="0" w:color="000000"/>
              <w:right w:val="single" w:sz="5" w:space="0" w:color="000000"/>
            </w:tcBorders>
            <w:tcMar>
              <w:top w:w="0" w:type="dxa"/>
              <w:left w:w="100" w:type="dxa"/>
              <w:bottom w:w="0" w:type="dxa"/>
              <w:right w:w="100" w:type="dxa"/>
            </w:tcMar>
          </w:tcPr>
          <w:p w14:paraId="5186D9BE" w14:textId="77777777" w:rsidR="002A7B8B" w:rsidRDefault="00000000">
            <w:pPr>
              <w:spacing w:before="240" w:after="160" w:line="256" w:lineRule="auto"/>
            </w:pPr>
            <w:r>
              <w:t>8.40%</w:t>
            </w:r>
          </w:p>
        </w:tc>
        <w:tc>
          <w:tcPr>
            <w:tcW w:w="2433" w:type="dxa"/>
            <w:tcBorders>
              <w:top w:val="nil"/>
              <w:left w:val="nil"/>
              <w:bottom w:val="single" w:sz="5" w:space="0" w:color="000000"/>
              <w:right w:val="single" w:sz="5" w:space="0" w:color="000000"/>
            </w:tcBorders>
            <w:tcMar>
              <w:top w:w="0" w:type="dxa"/>
              <w:left w:w="100" w:type="dxa"/>
              <w:bottom w:w="0" w:type="dxa"/>
              <w:right w:w="100" w:type="dxa"/>
            </w:tcMar>
          </w:tcPr>
          <w:p w14:paraId="3D5C20D2" w14:textId="77777777" w:rsidR="002A7B8B" w:rsidRDefault="00000000">
            <w:pPr>
              <w:spacing w:before="240" w:after="160" w:line="256" w:lineRule="auto"/>
            </w:pPr>
            <w:r>
              <w:t>5.77%</w:t>
            </w:r>
          </w:p>
        </w:tc>
        <w:tc>
          <w:tcPr>
            <w:tcW w:w="2209" w:type="dxa"/>
            <w:tcBorders>
              <w:top w:val="nil"/>
              <w:left w:val="nil"/>
              <w:bottom w:val="single" w:sz="5" w:space="0" w:color="000000"/>
              <w:right w:val="single" w:sz="5" w:space="0" w:color="000000"/>
            </w:tcBorders>
            <w:tcMar>
              <w:top w:w="0" w:type="dxa"/>
              <w:left w:w="100" w:type="dxa"/>
              <w:bottom w:w="0" w:type="dxa"/>
              <w:right w:w="100" w:type="dxa"/>
            </w:tcMar>
          </w:tcPr>
          <w:p w14:paraId="1263E71E" w14:textId="77777777" w:rsidR="002A7B8B" w:rsidRDefault="00000000">
            <w:pPr>
              <w:spacing w:before="240" w:after="160" w:line="256" w:lineRule="auto"/>
            </w:pPr>
            <w:r>
              <w:t>0.09</w:t>
            </w:r>
          </w:p>
        </w:tc>
      </w:tr>
    </w:tbl>
    <w:p w14:paraId="094037DC" w14:textId="77777777" w:rsidR="002A7B8B" w:rsidRDefault="00000000">
      <w:pPr>
        <w:spacing w:before="240" w:after="240"/>
      </w:pPr>
      <w:r>
        <w:t xml:space="preserve"> </w:t>
      </w:r>
    </w:p>
    <w:p w14:paraId="7FABB06F" w14:textId="77777777" w:rsidR="002A7B8B" w:rsidRDefault="00000000">
      <w:pPr>
        <w:spacing w:before="240" w:after="240"/>
        <w:rPr>
          <w:b/>
        </w:rPr>
      </w:pPr>
      <w:r>
        <w:rPr>
          <w:b/>
        </w:rPr>
        <w:t>Delphi Automotive</w:t>
      </w:r>
    </w:p>
    <w:p w14:paraId="789C9765" w14:textId="77777777" w:rsidR="002A7B8B" w:rsidRDefault="00000000">
      <w:pPr>
        <w:numPr>
          <w:ilvl w:val="0"/>
          <w:numId w:val="9"/>
        </w:numPr>
      </w:pPr>
      <w:r>
        <w:t>Anticipated Return (9.10%) is below the CAPM Return (14.28%), suggesting underperformance relative to expected market return.</w:t>
      </w:r>
    </w:p>
    <w:p w14:paraId="2A68EE4F" w14:textId="77777777" w:rsidR="002A7B8B" w:rsidRDefault="00000000">
      <w:pPr>
        <w:numPr>
          <w:ilvl w:val="0"/>
          <w:numId w:val="9"/>
        </w:numPr>
      </w:pPr>
      <w:r>
        <w:t>However, it has the highest Sharpe Ratio (0.27), indicating the best return per unit of risk.</w:t>
      </w:r>
    </w:p>
    <w:p w14:paraId="168B26D7" w14:textId="77777777" w:rsidR="002A7B8B" w:rsidRDefault="00000000">
      <w:pPr>
        <w:numPr>
          <w:ilvl w:val="0"/>
          <w:numId w:val="9"/>
        </w:numPr>
        <w:spacing w:after="240"/>
      </w:pPr>
      <w:r>
        <w:t>Delphi balances risk and reward well, making it a strong choice for portfolios seeking growth with controlled risk.</w:t>
      </w:r>
    </w:p>
    <w:p w14:paraId="735DCD49" w14:textId="77777777" w:rsidR="002A7B8B" w:rsidRDefault="00000000">
      <w:pPr>
        <w:spacing w:before="240" w:after="240"/>
        <w:rPr>
          <w:b/>
        </w:rPr>
      </w:pPr>
      <w:r>
        <w:rPr>
          <w:b/>
        </w:rPr>
        <w:t xml:space="preserve"> Groupon</w:t>
      </w:r>
    </w:p>
    <w:p w14:paraId="709958C9" w14:textId="77777777" w:rsidR="002A7B8B" w:rsidRDefault="00000000">
      <w:pPr>
        <w:numPr>
          <w:ilvl w:val="0"/>
          <w:numId w:val="4"/>
        </w:numPr>
      </w:pPr>
      <w:r>
        <w:t>Anticipated Return (9.30%) is well below the CAPM Return (15.46%), showing poor compensation for high risk.</w:t>
      </w:r>
    </w:p>
    <w:p w14:paraId="45F00D2E" w14:textId="77777777" w:rsidR="002A7B8B" w:rsidRDefault="00000000">
      <w:pPr>
        <w:numPr>
          <w:ilvl w:val="0"/>
          <w:numId w:val="4"/>
        </w:numPr>
      </w:pPr>
      <w:r>
        <w:t>A low Sharpe Ratio (0.10) and very high volatility (β = 1.44, σ = 67.1%) make it extremely sensitive to market changes.</w:t>
      </w:r>
    </w:p>
    <w:p w14:paraId="253688C9" w14:textId="77777777" w:rsidR="002A7B8B" w:rsidRDefault="00000000">
      <w:pPr>
        <w:numPr>
          <w:ilvl w:val="0"/>
          <w:numId w:val="4"/>
        </w:numPr>
        <w:spacing w:after="240"/>
      </w:pPr>
      <w:r>
        <w:t>Groupon is a high-risk investment that fails to deliver adequate returns, making it unattractive under both CAPM and Sharpe measures.</w:t>
      </w:r>
    </w:p>
    <w:p w14:paraId="382A5026" w14:textId="77777777" w:rsidR="002A7B8B" w:rsidRDefault="00000000">
      <w:pPr>
        <w:spacing w:before="240" w:after="240"/>
        <w:rPr>
          <w:b/>
        </w:rPr>
      </w:pPr>
      <w:r>
        <w:rPr>
          <w:b/>
        </w:rPr>
        <w:t xml:space="preserve"> Kellogg</w:t>
      </w:r>
    </w:p>
    <w:p w14:paraId="4A51A66F" w14:textId="77777777" w:rsidR="002A7B8B" w:rsidRDefault="00000000">
      <w:pPr>
        <w:numPr>
          <w:ilvl w:val="0"/>
          <w:numId w:val="10"/>
        </w:numPr>
      </w:pPr>
      <w:r>
        <w:t>Anticipated Return (4.60%) is slightly below the CAPM Return (6.83%), indicating minor underperformance.</w:t>
      </w:r>
    </w:p>
    <w:p w14:paraId="396AC7FE" w14:textId="77777777" w:rsidR="002A7B8B" w:rsidRDefault="00000000">
      <w:pPr>
        <w:numPr>
          <w:ilvl w:val="0"/>
          <w:numId w:val="10"/>
        </w:numPr>
      </w:pPr>
      <w:r>
        <w:t>With the lowest beta (0.54) and lowest volatility (14.6%), Kellogg is the most stable stock.</w:t>
      </w:r>
    </w:p>
    <w:p w14:paraId="508722AE" w14:textId="77777777" w:rsidR="002A7B8B" w:rsidRDefault="00000000">
      <w:pPr>
        <w:numPr>
          <w:ilvl w:val="0"/>
          <w:numId w:val="10"/>
        </w:numPr>
        <w:spacing w:after="240"/>
      </w:pPr>
      <w:r>
        <w:t>Though its Sharpe Ratio is modest (0.15), it’s well-suited for risk-averse investors focused on capital preservation.</w:t>
      </w:r>
    </w:p>
    <w:p w14:paraId="6B4A4B05" w14:textId="77777777" w:rsidR="002A7B8B" w:rsidRDefault="00000000">
      <w:pPr>
        <w:spacing w:before="240" w:after="240"/>
        <w:rPr>
          <w:b/>
        </w:rPr>
      </w:pPr>
      <w:r>
        <w:rPr>
          <w:b/>
        </w:rPr>
        <w:t xml:space="preserve"> Kinross Gold</w:t>
      </w:r>
    </w:p>
    <w:p w14:paraId="1C2CE88B" w14:textId="77777777" w:rsidR="002A7B8B" w:rsidRDefault="00000000">
      <w:pPr>
        <w:numPr>
          <w:ilvl w:val="0"/>
          <w:numId w:val="15"/>
        </w:numPr>
      </w:pPr>
      <w:r>
        <w:lastRenderedPageBreak/>
        <w:t>Anticipated Return (8.40%) is above the CAPM Return (5.77%), implying potential outperformance.</w:t>
      </w:r>
    </w:p>
    <w:p w14:paraId="01E1DB5D" w14:textId="77777777" w:rsidR="002A7B8B" w:rsidRDefault="00000000">
      <w:pPr>
        <w:numPr>
          <w:ilvl w:val="0"/>
          <w:numId w:val="15"/>
        </w:numPr>
      </w:pPr>
      <w:r>
        <w:t>However, the lowest Sharpe Ratio (0.09) and high volatility (σ = 65%) suggest poor risk-adjusted performance.</w:t>
      </w:r>
    </w:p>
    <w:p w14:paraId="50A94178" w14:textId="77777777" w:rsidR="002A7B8B" w:rsidRDefault="00000000">
      <w:pPr>
        <w:numPr>
          <w:ilvl w:val="0"/>
          <w:numId w:val="15"/>
        </w:numPr>
        <w:spacing w:after="240"/>
      </w:pPr>
      <w:r>
        <w:t>Its reliance on gold prices makes it unpredictable and risky for general investment.</w:t>
      </w:r>
    </w:p>
    <w:p w14:paraId="08418BC4" w14:textId="77777777" w:rsidR="002A7B8B" w:rsidRDefault="00000000">
      <w:pPr>
        <w:spacing w:before="240" w:after="240"/>
        <w:rPr>
          <w:b/>
        </w:rPr>
      </w:pPr>
      <w:r>
        <w:rPr>
          <w:b/>
        </w:rPr>
        <w:t xml:space="preserve"> CONCLUSION</w:t>
      </w:r>
    </w:p>
    <w:p w14:paraId="559B8949" w14:textId="77777777" w:rsidR="002A7B8B" w:rsidRDefault="00000000">
      <w:pPr>
        <w:spacing w:before="240" w:after="240"/>
      </w:pPr>
      <w:r>
        <w:t>Delphi Automotive is the most attractive option due to its strong risk-adjusted return. Kellogg is best for conservative, low-risk investors. Kinross offers possible upside but with excessive volatility. Groupon should be avoided as it underperforms in both absolute and risk-adjusted terms.</w:t>
      </w:r>
    </w:p>
    <w:p w14:paraId="4AEEA05E" w14:textId="77777777" w:rsidR="002A7B8B" w:rsidRDefault="002A7B8B">
      <w:pPr>
        <w:spacing w:before="240" w:after="240"/>
      </w:pPr>
    </w:p>
    <w:p w14:paraId="3F8B10BD" w14:textId="77777777" w:rsidR="002A7B8B" w:rsidRDefault="00000000">
      <w:r>
        <w:rPr>
          <w:noProof/>
        </w:rPr>
        <w:drawing>
          <wp:inline distT="114300" distB="114300" distL="114300" distR="114300" wp14:anchorId="712B2E30" wp14:editId="2097EDB6">
            <wp:extent cx="5943600" cy="3581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581400"/>
                    </a:xfrm>
                    <a:prstGeom prst="rect">
                      <a:avLst/>
                    </a:prstGeom>
                    <a:ln/>
                  </pic:spPr>
                </pic:pic>
              </a:graphicData>
            </a:graphic>
          </wp:inline>
        </w:drawing>
      </w:r>
    </w:p>
    <w:p w14:paraId="550DED4A" w14:textId="77777777" w:rsidR="002A7B8B" w:rsidRDefault="002A7B8B"/>
    <w:p w14:paraId="1255066E" w14:textId="77777777" w:rsidR="002A7B8B" w:rsidRDefault="002A7B8B"/>
    <w:p w14:paraId="62E45591" w14:textId="77777777" w:rsidR="002A7B8B" w:rsidRDefault="002A7B8B"/>
    <w:p w14:paraId="6CB390F0" w14:textId="77777777" w:rsidR="002A7B8B" w:rsidRDefault="00000000">
      <w:pPr>
        <w:rPr>
          <w:b/>
        </w:rPr>
      </w:pPr>
      <w:r>
        <w:rPr>
          <w:b/>
        </w:rPr>
        <w:t>2. How would you characterise the riskiness of the different stocks being</w:t>
      </w:r>
    </w:p>
    <w:p w14:paraId="3FCC2B4B" w14:textId="77777777" w:rsidR="002A7B8B" w:rsidRDefault="00000000">
      <w:pPr>
        <w:rPr>
          <w:b/>
        </w:rPr>
      </w:pPr>
      <w:r>
        <w:rPr>
          <w:b/>
        </w:rPr>
        <w:t>considered by the Cavalier Fund? Which stock do you believe is the</w:t>
      </w:r>
    </w:p>
    <w:p w14:paraId="16A5A980" w14:textId="77777777" w:rsidR="002A7B8B" w:rsidRDefault="00000000">
      <w:pPr>
        <w:rPr>
          <w:b/>
        </w:rPr>
      </w:pPr>
      <w:r>
        <w:rPr>
          <w:b/>
        </w:rPr>
        <w:t>riskiest, and which is the least risky?</w:t>
      </w:r>
    </w:p>
    <w:p w14:paraId="6C645163" w14:textId="77777777" w:rsidR="002A7B8B" w:rsidRDefault="00000000">
      <w:pPr>
        <w:spacing w:before="240" w:after="240"/>
      </w:pPr>
      <w:r>
        <w:t>The Cavalier Fund is considering investments in four companies—Delphi Automotive, Groupon, Kellogg, and Kinross Gold. Each of these stocks comes from a different sector and carries a unique level of risk.</w:t>
      </w:r>
    </w:p>
    <w:p w14:paraId="5F934484" w14:textId="77777777" w:rsidR="002A7B8B" w:rsidRDefault="00000000">
      <w:pPr>
        <w:spacing w:before="240" w:after="240"/>
      </w:pPr>
      <w:r>
        <w:rPr>
          <w:b/>
        </w:rPr>
        <w:lastRenderedPageBreak/>
        <w:t>Delphi Automotive</w:t>
      </w:r>
      <w:r>
        <w:t>, part of the auto parts industry, has a fairly high beta of 1.29. This means its returns tend to move more sharply than the overall market. Despite that, its standard deviation is 24.6%, which isn’t extreme. This combination suggests that while Delphi is moderately sensitive to market fluctuations, it maintains a reasonable level of volatility. That makes it a relatively balanced investment offering the potential for good returns without excessive risk.</w:t>
      </w:r>
    </w:p>
    <w:p w14:paraId="2FB8580B" w14:textId="77777777" w:rsidR="002A7B8B" w:rsidRDefault="00000000">
      <w:pPr>
        <w:spacing w:before="240" w:after="240"/>
      </w:pPr>
      <w:r>
        <w:rPr>
          <w:b/>
        </w:rPr>
        <w:t>Groupon</w:t>
      </w:r>
      <w:r>
        <w:t>, on the other hand, stands out for its high risk. It has the highest beta (1.44) and the highest standard deviation (67.1%) of all four stocks. These figures point to significant volatility and strong reactions to market movements. In recent years, its performance has been inconsistent, further reinforcing its profile as a speculative and high-risk option. Among all the stocks, Groupon clearly carries the most risk.</w:t>
      </w:r>
    </w:p>
    <w:p w14:paraId="4E165A8A" w14:textId="77777777" w:rsidR="002A7B8B" w:rsidRDefault="00000000">
      <w:pPr>
        <w:spacing w:before="240" w:after="240"/>
      </w:pPr>
      <w:r>
        <w:rPr>
          <w:b/>
        </w:rPr>
        <w:t>Kellogg</w:t>
      </w:r>
      <w:r>
        <w:t>, from the processed food sector, is the most stable of the group. With the lowest beta (0.54) and lowest standard deviation (14.6%), it’s largely unaffected by market swings. This stability makes it a classic low-risk, defensive stock—well-suited for cautious investors or portfolios aiming for steady, long-term growth with minimal exposure to risk.</w:t>
      </w:r>
    </w:p>
    <w:p w14:paraId="4A9C30FB" w14:textId="77777777" w:rsidR="002A7B8B" w:rsidRDefault="00000000">
      <w:pPr>
        <w:spacing w:before="240" w:after="240"/>
      </w:pPr>
      <w:r>
        <w:rPr>
          <w:b/>
        </w:rPr>
        <w:t>Kinross Gold</w:t>
      </w:r>
      <w:r>
        <w:t xml:space="preserve"> presents a more complex risk profile. Its beta is just 0.31, implying it doesn’t move much with the broader market. However, it has a very high standard deviation (65.0%). That’s because its performance is heavily tied to gold prices, which can be highly unpredictable. While it’s not very correlated with the market, it is still quite volatile—making it a risky choice in terms of total return fluctuation.</w:t>
      </w:r>
    </w:p>
    <w:p w14:paraId="650FE6A5" w14:textId="77777777" w:rsidR="002A7B8B" w:rsidRDefault="00000000">
      <w:pPr>
        <w:spacing w:before="240" w:after="240"/>
        <w:rPr>
          <w:b/>
        </w:rPr>
      </w:pPr>
      <w:r>
        <w:rPr>
          <w:b/>
        </w:rPr>
        <w:t>CONCLUSION</w:t>
      </w:r>
    </w:p>
    <w:p w14:paraId="2E104380" w14:textId="77777777" w:rsidR="002A7B8B" w:rsidRDefault="00000000">
      <w:pPr>
        <w:spacing w:before="240" w:after="240"/>
      </w:pPr>
      <w:r>
        <w:t>Groupon is the most risky stock due to its high beta and extreme volatility. Kellogg is the safest, with minimal market exposure and steady performance. Delphi offers a reasonable trade-off between risk and return, while Kinross is highly volatile due to its exposure to gold prices, despite having a low beta.</w:t>
      </w:r>
    </w:p>
    <w:p w14:paraId="40FA4D22" w14:textId="77777777" w:rsidR="002A7B8B" w:rsidRDefault="002A7B8B"/>
    <w:p w14:paraId="5D6DDDB4" w14:textId="77777777" w:rsidR="002A7B8B" w:rsidRDefault="00000000">
      <w:pPr>
        <w:rPr>
          <w:b/>
        </w:rPr>
      </w:pPr>
      <w:r>
        <w:rPr>
          <w:b/>
        </w:rPr>
        <w:t>3. How does portfolio diversification effect your characterisation of risk for</w:t>
      </w:r>
    </w:p>
    <w:p w14:paraId="5ADF1FC0" w14:textId="77777777" w:rsidR="002A7B8B" w:rsidRDefault="00000000">
      <w:pPr>
        <w:rPr>
          <w:b/>
        </w:rPr>
      </w:pPr>
      <w:r>
        <w:rPr>
          <w:b/>
        </w:rPr>
        <w:t>the stocks?</w:t>
      </w:r>
    </w:p>
    <w:p w14:paraId="3CD1EF07" w14:textId="77777777" w:rsidR="002A7B8B" w:rsidRDefault="002A7B8B"/>
    <w:p w14:paraId="5CCBB70F" w14:textId="77777777" w:rsidR="002A7B8B" w:rsidRDefault="00000000">
      <w:r>
        <w:t>Portfolio diversification plays a critical role in how we assess the risk of individual stocks. While evaluating stocks such as Delphi, Groupon, Kellogg, and Kinross Gold, it's important to distinguish between two types of risk:</w:t>
      </w:r>
    </w:p>
    <w:p w14:paraId="0E3A9A49" w14:textId="77777777" w:rsidR="002A7B8B" w:rsidRDefault="00000000">
      <w:pPr>
        <w:spacing w:before="240" w:after="240"/>
      </w:pPr>
      <w:r>
        <w:rPr>
          <w:b/>
        </w:rPr>
        <w:t>Systematic Risk</w:t>
      </w:r>
      <w:r>
        <w:t xml:space="preserve"> (measured by </w:t>
      </w:r>
      <w:r>
        <w:rPr>
          <w:b/>
        </w:rPr>
        <w:t>beta</w:t>
      </w:r>
      <w:r>
        <w:t>):</w:t>
      </w:r>
    </w:p>
    <w:p w14:paraId="793DA235" w14:textId="77777777" w:rsidR="002A7B8B" w:rsidRDefault="00000000">
      <w:pPr>
        <w:numPr>
          <w:ilvl w:val="0"/>
          <w:numId w:val="16"/>
        </w:numPr>
        <w:spacing w:before="240"/>
      </w:pPr>
      <w:r>
        <w:t>This is market-wide risk that cannot be diversified away.</w:t>
      </w:r>
    </w:p>
    <w:p w14:paraId="4C84B43A" w14:textId="77777777" w:rsidR="002A7B8B" w:rsidRDefault="00000000">
      <w:pPr>
        <w:numPr>
          <w:ilvl w:val="0"/>
          <w:numId w:val="16"/>
        </w:numPr>
        <w:spacing w:after="240"/>
      </w:pPr>
      <w:r>
        <w:t>All stocks are affected by this to some extent (e.g., recessions, inflation).</w:t>
      </w:r>
      <w:r>
        <w:br/>
      </w:r>
    </w:p>
    <w:p w14:paraId="1A030158" w14:textId="77777777" w:rsidR="002A7B8B" w:rsidRDefault="00000000">
      <w:pPr>
        <w:spacing w:before="240" w:after="240"/>
      </w:pPr>
      <w:r>
        <w:rPr>
          <w:b/>
        </w:rPr>
        <w:t>Unsystematic Risk</w:t>
      </w:r>
      <w:r>
        <w:t xml:space="preserve"> (company- or sector-specific risk):</w:t>
      </w:r>
    </w:p>
    <w:p w14:paraId="00575282" w14:textId="77777777" w:rsidR="002A7B8B" w:rsidRDefault="00000000">
      <w:pPr>
        <w:numPr>
          <w:ilvl w:val="0"/>
          <w:numId w:val="16"/>
        </w:numPr>
        <w:spacing w:before="240"/>
      </w:pPr>
      <w:r>
        <w:lastRenderedPageBreak/>
        <w:t>This includes risks unique to a specific firm or industry.</w:t>
      </w:r>
    </w:p>
    <w:p w14:paraId="3104E7EB" w14:textId="77777777" w:rsidR="002A7B8B" w:rsidRDefault="00000000">
      <w:pPr>
        <w:numPr>
          <w:ilvl w:val="0"/>
          <w:numId w:val="16"/>
        </w:numPr>
        <w:spacing w:after="240"/>
      </w:pPr>
      <w:r>
        <w:t xml:space="preserve">This risk </w:t>
      </w:r>
      <w:r>
        <w:rPr>
          <w:b/>
        </w:rPr>
        <w:t>can be reduced or eliminated</w:t>
      </w:r>
      <w:r>
        <w:t xml:space="preserve"> through diversification.</w:t>
      </w:r>
      <w:r>
        <w:br/>
      </w:r>
    </w:p>
    <w:p w14:paraId="24420009" w14:textId="77777777" w:rsidR="002A7B8B" w:rsidRDefault="00000000">
      <w:pPr>
        <w:spacing w:before="240" w:after="240"/>
      </w:pPr>
      <w:r>
        <w:t xml:space="preserve">In a well-diversified portfolio, the total ups and downs (measured by standard deviation) of individual stocks matter less. What becomes more important is </w:t>
      </w:r>
      <w:r>
        <w:rPr>
          <w:b/>
        </w:rPr>
        <w:t>beta</w:t>
      </w:r>
      <w:r>
        <w:t xml:space="preserve">, which shows how much a stock moves with the overall market. </w:t>
      </w:r>
    </w:p>
    <w:p w14:paraId="13081D15" w14:textId="77777777" w:rsidR="002A7B8B" w:rsidRDefault="00000000">
      <w:pPr>
        <w:spacing w:before="240" w:after="240"/>
      </w:pPr>
      <w:r>
        <w:t>Diversification helps investors cancel out those company-specific risks by spreading investments across different stocks. That way, the main risk they need to worry about is the general market risk, which is what beta measures.</w:t>
      </w:r>
    </w:p>
    <w:p w14:paraId="395070DE" w14:textId="77777777" w:rsidR="002A7B8B" w:rsidRDefault="00000000">
      <w:pPr>
        <w:spacing w:before="240" w:after="240"/>
      </w:pPr>
      <w:r>
        <w:t xml:space="preserve">So, for the Cavalier Fund, when building a portfolio of different stocks, it makes more sense to look at each stock’s </w:t>
      </w:r>
      <w:r>
        <w:rPr>
          <w:b/>
        </w:rPr>
        <w:t>beta</w:t>
      </w:r>
      <w:r>
        <w:t xml:space="preserve"> to understand how much it adds to the overall market risk of the portfolio, rather than focusing only on how much that stock's price changes on its own.</w:t>
      </w:r>
    </w:p>
    <w:p w14:paraId="5E06BE00" w14:textId="77777777" w:rsidR="002A7B8B" w:rsidRDefault="002A7B8B">
      <w:pPr>
        <w:rPr>
          <w:b/>
        </w:rPr>
      </w:pPr>
    </w:p>
    <w:p w14:paraId="43B3FF89" w14:textId="77777777" w:rsidR="002A7B8B" w:rsidRDefault="00000000">
      <w:pPr>
        <w:rPr>
          <w:b/>
        </w:rPr>
      </w:pPr>
      <w:r>
        <w:rPr>
          <w:b/>
        </w:rPr>
        <w:t>4. Kramer argues that the returns associated with a 50-50 weighted portfolio</w:t>
      </w:r>
    </w:p>
    <w:p w14:paraId="6B5EF612" w14:textId="77777777" w:rsidR="002A7B8B" w:rsidRDefault="00000000">
      <w:pPr>
        <w:rPr>
          <w:b/>
        </w:rPr>
      </w:pPr>
      <w:r>
        <w:rPr>
          <w:b/>
        </w:rPr>
        <w:t>of Groupon and Kinross Gold have a lower standard deviation than those</w:t>
      </w:r>
    </w:p>
    <w:p w14:paraId="3512FF6F" w14:textId="77777777" w:rsidR="002A7B8B" w:rsidRDefault="00000000">
      <w:pPr>
        <w:rPr>
          <w:b/>
        </w:rPr>
      </w:pPr>
      <w:r>
        <w:rPr>
          <w:b/>
        </w:rPr>
        <w:t>associated with either Groupon or Kinross Gold stock alone. Is that true?</w:t>
      </w:r>
    </w:p>
    <w:p w14:paraId="34DE1892" w14:textId="77777777" w:rsidR="002A7B8B" w:rsidRDefault="00000000">
      <w:r>
        <w:t xml:space="preserve"> </w:t>
      </w:r>
    </w:p>
    <w:p w14:paraId="47616B4F" w14:textId="77777777" w:rsidR="002A7B8B" w:rsidRDefault="00000000">
      <w:r>
        <w:t>Portfolio Standard Deviation Formula (2 Assets):</w:t>
      </w:r>
    </w:p>
    <w:p w14:paraId="7F5EA078" w14:textId="77777777" w:rsidR="002A7B8B" w:rsidRDefault="00000000">
      <w:pPr>
        <w:spacing w:before="240" w:after="240"/>
      </w:pPr>
      <w:r>
        <w:rPr>
          <w:rFonts w:ascii="Arial Unicode MS" w:eastAsia="Arial Unicode MS" w:hAnsi="Arial Unicode MS" w:cs="Arial Unicode MS"/>
        </w:rPr>
        <w:t>σp = √[ (w1² * σ1²) + (w2² * σ2²) + 2 * w1 * w2 * σ1 * σ2 * ρ12 ]</w:t>
      </w:r>
    </w:p>
    <w:p w14:paraId="6C3F1593" w14:textId="77777777" w:rsidR="002A7B8B" w:rsidRDefault="00000000">
      <w:pPr>
        <w:spacing w:before="240" w:after="240"/>
      </w:pPr>
      <w:r>
        <w:t>Where:</w:t>
      </w:r>
    </w:p>
    <w:p w14:paraId="4B2B9D84" w14:textId="77777777" w:rsidR="002A7B8B" w:rsidRDefault="00000000">
      <w:pPr>
        <w:numPr>
          <w:ilvl w:val="0"/>
          <w:numId w:val="7"/>
        </w:numPr>
        <w:spacing w:before="240"/>
      </w:pPr>
      <w:r>
        <w:t xml:space="preserve">w1, w2: weights of the two assets </w:t>
      </w:r>
    </w:p>
    <w:p w14:paraId="6346A732" w14:textId="77777777" w:rsidR="002A7B8B" w:rsidRDefault="00000000">
      <w:pPr>
        <w:numPr>
          <w:ilvl w:val="0"/>
          <w:numId w:val="7"/>
        </w:numPr>
      </w:pPr>
      <w:r>
        <w:t xml:space="preserve"> σ1, σ2: standard deviations of the two assets</w:t>
      </w:r>
    </w:p>
    <w:p w14:paraId="288905A1" w14:textId="77777777" w:rsidR="002A7B8B" w:rsidRDefault="00000000">
      <w:pPr>
        <w:numPr>
          <w:ilvl w:val="0"/>
          <w:numId w:val="7"/>
        </w:numPr>
      </w:pPr>
      <w:r>
        <w:t>ρ12: correlation coefficient between the two assets</w:t>
      </w:r>
    </w:p>
    <w:p w14:paraId="2BA9AA83" w14:textId="77777777" w:rsidR="002A7B8B" w:rsidRDefault="00000000">
      <w:pPr>
        <w:numPr>
          <w:ilvl w:val="0"/>
          <w:numId w:val="7"/>
        </w:numPr>
        <w:spacing w:after="240"/>
      </w:pPr>
      <w:r>
        <w:t>σp: portfolio standard deviation</w:t>
      </w:r>
    </w:p>
    <w:p w14:paraId="26FF1FD6" w14:textId="77777777" w:rsidR="002A7B8B" w:rsidRDefault="00000000">
      <w:pPr>
        <w:spacing w:before="240" w:after="240"/>
      </w:pPr>
      <w:r>
        <w:t>Given:</w:t>
      </w:r>
    </w:p>
    <w:p w14:paraId="247509B8" w14:textId="77777777" w:rsidR="002A7B8B" w:rsidRDefault="00000000">
      <w:pPr>
        <w:numPr>
          <w:ilvl w:val="0"/>
          <w:numId w:val="7"/>
        </w:numPr>
        <w:spacing w:before="240"/>
      </w:pPr>
      <w:r>
        <w:t>σ (Groupon) = 0.671</w:t>
      </w:r>
    </w:p>
    <w:p w14:paraId="39029B6E" w14:textId="77777777" w:rsidR="002A7B8B" w:rsidRDefault="00000000">
      <w:pPr>
        <w:numPr>
          <w:ilvl w:val="0"/>
          <w:numId w:val="7"/>
        </w:numPr>
      </w:pPr>
      <w:r>
        <w:t xml:space="preserve"> σ (Kinross) = 0.650</w:t>
      </w:r>
    </w:p>
    <w:p w14:paraId="34119EA8" w14:textId="77777777" w:rsidR="002A7B8B" w:rsidRDefault="00000000">
      <w:pPr>
        <w:numPr>
          <w:ilvl w:val="0"/>
          <w:numId w:val="7"/>
        </w:numPr>
        <w:spacing w:after="240"/>
      </w:pPr>
      <w:r>
        <w:t xml:space="preserve"> w1 = w2 = 0.5</w:t>
      </w:r>
    </w:p>
    <w:p w14:paraId="230068C0" w14:textId="77777777" w:rsidR="002A7B8B" w:rsidRDefault="00000000">
      <w:pPr>
        <w:spacing w:before="240" w:after="240"/>
      </w:pPr>
      <w:r>
        <w:rPr>
          <w:b/>
        </w:rPr>
        <w:t>Case 1:</w:t>
      </w:r>
      <w:r>
        <w:t xml:space="preserve"> Perfect Positive Correlation (ρ = +1)</w:t>
      </w:r>
    </w:p>
    <w:p w14:paraId="61BF5FCB" w14:textId="77777777" w:rsidR="002A7B8B" w:rsidRDefault="00000000">
      <w:pPr>
        <w:spacing w:before="240" w:after="240"/>
      </w:pPr>
      <w:r>
        <w:rPr>
          <w:rFonts w:ascii="Arial Unicode MS" w:eastAsia="Arial Unicode MS" w:hAnsi="Arial Unicode MS" w:cs="Arial Unicode MS"/>
        </w:rPr>
        <w:t>σp = √[ (0.5² * 0.671²) + (0.5² * 0.650²) + 2 * 0.5 * 0.5 * 0.671 * 0.650 * 1 ]</w:t>
      </w:r>
    </w:p>
    <w:p w14:paraId="05CAEAFB" w14:textId="77777777" w:rsidR="002A7B8B" w:rsidRDefault="00000000">
      <w:pPr>
        <w:spacing w:before="240" w:after="240"/>
      </w:pPr>
      <w:r>
        <w:rPr>
          <w:rFonts w:ascii="Arial Unicode MS" w:eastAsia="Arial Unicode MS" w:hAnsi="Arial Unicode MS" w:cs="Arial Unicode MS"/>
        </w:rPr>
        <w:tab/>
        <w:t>= √[0.1125 + 0.1056 + 0.2183] = √0.4364 ≈ 0.6606</w:t>
      </w:r>
    </w:p>
    <w:p w14:paraId="54A558CD" w14:textId="77777777" w:rsidR="002A7B8B" w:rsidRDefault="00000000">
      <w:pPr>
        <w:spacing w:before="240" w:after="240"/>
      </w:pPr>
      <w:r>
        <w:rPr>
          <w:b/>
        </w:rPr>
        <w:t>Case 2:</w:t>
      </w:r>
      <w:r>
        <w:t xml:space="preserve"> Zero Correlation (ρ = 0)</w:t>
      </w:r>
    </w:p>
    <w:p w14:paraId="664CA476" w14:textId="77777777" w:rsidR="002A7B8B" w:rsidRDefault="00000000">
      <w:pPr>
        <w:spacing w:before="240" w:after="240"/>
      </w:pPr>
      <w:r>
        <w:rPr>
          <w:rFonts w:ascii="Arial Unicode MS" w:eastAsia="Arial Unicode MS" w:hAnsi="Arial Unicode MS" w:cs="Arial Unicode MS"/>
        </w:rPr>
        <w:t>σp = √[0.1125 + 0.1056 + 0] = √0.2181 ≈ 0.4668</w:t>
      </w:r>
    </w:p>
    <w:p w14:paraId="254E239A" w14:textId="77777777" w:rsidR="002A7B8B" w:rsidRDefault="00000000">
      <w:pPr>
        <w:spacing w:before="240" w:after="240"/>
      </w:pPr>
      <w:r>
        <w:rPr>
          <w:b/>
        </w:rPr>
        <w:lastRenderedPageBreak/>
        <w:t>Case 3:</w:t>
      </w:r>
      <w:r>
        <w:t xml:space="preserve"> Perfect Negative Correlation (ρ = -1)</w:t>
      </w:r>
    </w:p>
    <w:p w14:paraId="41B89187" w14:textId="77777777" w:rsidR="002A7B8B" w:rsidRDefault="00000000">
      <w:pPr>
        <w:spacing w:before="240" w:after="240"/>
      </w:pPr>
      <w:r>
        <w:rPr>
          <w:rFonts w:ascii="Arial Unicode MS" w:eastAsia="Arial Unicode MS" w:hAnsi="Arial Unicode MS" w:cs="Arial Unicode MS"/>
        </w:rPr>
        <w:t>σp = √[0.1125 + 0.1056 - 0.2183] = √0 = 0</w:t>
      </w:r>
    </w:p>
    <w:p w14:paraId="60B3C5ED" w14:textId="77777777" w:rsidR="002A7B8B" w:rsidRDefault="002A7B8B"/>
    <w:p w14:paraId="6BBD05CA" w14:textId="77777777" w:rsidR="002A7B8B" w:rsidRDefault="00000000">
      <w:pPr>
        <w:rPr>
          <w:b/>
        </w:rPr>
      </w:pPr>
      <w:r>
        <w:rPr>
          <w:b/>
        </w:rPr>
        <w:t>CONCLUSION</w:t>
      </w:r>
    </w:p>
    <w:p w14:paraId="4D93F76A" w14:textId="77777777" w:rsidR="002A7B8B" w:rsidRDefault="00000000">
      <w:pPr>
        <w:spacing w:before="240" w:after="240"/>
        <w:rPr>
          <w:b/>
        </w:rPr>
      </w:pPr>
      <w:r>
        <w:rPr>
          <w:b/>
        </w:rPr>
        <w:t>Kramer’s claim is conditionally true.</w:t>
      </w:r>
    </w:p>
    <w:p w14:paraId="4087800A" w14:textId="77777777" w:rsidR="002A7B8B" w:rsidRDefault="00000000">
      <w:pPr>
        <w:numPr>
          <w:ilvl w:val="0"/>
          <w:numId w:val="1"/>
        </w:numPr>
        <w:spacing w:before="240"/>
      </w:pPr>
      <w:r>
        <w:t>If Groupon and Kinross returns are not perfectly correlated, the 50-50 portfolio will have lower standard deviation than either stock alone.</w:t>
      </w:r>
      <w:r>
        <w:br/>
      </w:r>
    </w:p>
    <w:p w14:paraId="2947D401" w14:textId="77777777" w:rsidR="002A7B8B" w:rsidRDefault="00000000">
      <w:pPr>
        <w:numPr>
          <w:ilvl w:val="0"/>
          <w:numId w:val="1"/>
        </w:numPr>
        <w:spacing w:after="240"/>
      </w:pPr>
      <w:r>
        <w:t>But if the two are highly positively correlated, the reduction in risk is small  and the portfolio could still be riskier than Kinross alone.</w:t>
      </w:r>
    </w:p>
    <w:p w14:paraId="439CF212" w14:textId="77777777" w:rsidR="002A7B8B" w:rsidRDefault="002A7B8B"/>
    <w:p w14:paraId="76FF6FDB" w14:textId="77777777" w:rsidR="002A7B8B" w:rsidRDefault="002A7B8B"/>
    <w:p w14:paraId="40732429" w14:textId="77777777" w:rsidR="002A7B8B" w:rsidRDefault="00000000">
      <w:pPr>
        <w:rPr>
          <w:b/>
        </w:rPr>
      </w:pPr>
      <w:r>
        <w:rPr>
          <w:b/>
        </w:rPr>
        <w:t>5.What is the argument for Kinross Gold?</w:t>
      </w:r>
    </w:p>
    <w:p w14:paraId="1C3F1FA0" w14:textId="77777777" w:rsidR="002A7B8B" w:rsidRDefault="00000000">
      <w:pPr>
        <w:spacing w:before="240" w:after="240"/>
      </w:pPr>
      <w:r>
        <w:t>Kinross Gold may seem like a risky investment at first glance. It has a high standard deviation (65%), which means its returns can fluctuate a lot. However, when we look at how it behaves in a broader portfolio, it becomes a more attractive choice.</w:t>
      </w:r>
    </w:p>
    <w:p w14:paraId="3CACF1BA" w14:textId="77777777" w:rsidR="002A7B8B" w:rsidRDefault="00000000">
      <w:pPr>
        <w:spacing w:before="240" w:after="240"/>
      </w:pPr>
      <w:r>
        <w:t>Rather than focusing only on expected return, it's important to consider how much risk you take to get that return. This is called risk-adjusted performance. Tools like the Sharpe Ratio help us compare different investments on this basis. While Kinross Gold doesn’t have the highest return, it offers a reasonable return for the risk involved.</w:t>
      </w:r>
    </w:p>
    <w:p w14:paraId="51C233AD" w14:textId="77777777" w:rsidR="002A7B8B" w:rsidRDefault="00000000">
      <w:pPr>
        <w:spacing w:before="240" w:after="240"/>
      </w:pPr>
      <w:r>
        <w:t>What really makes Kinross Gold valuable is its diversification benefit. When you combine it with other stock, especially those from very different industries, it can actually reduce the overall risk of the portfolio. For example, a 50-50 portfolio of Kinross and a tech stock like Groupon  can have a lower combined risk than investing in either one alone. This is because their returns don’t move in the same direction at the same time, which smooths out the ups and downs.</w:t>
      </w:r>
    </w:p>
    <w:p w14:paraId="22455C26" w14:textId="77777777" w:rsidR="002A7B8B" w:rsidRDefault="00000000">
      <w:pPr>
        <w:spacing w:before="240" w:after="240"/>
      </w:pPr>
      <w:r>
        <w:t>Looking at a stock in isolation doesn’t give the full picture. Even if Kinross looks too risky on its own, it adds stability when mixed with other investments. This is especially true because it operates in the gold sector, which often performs differently from the rest of the market.</w:t>
      </w:r>
    </w:p>
    <w:p w14:paraId="59ECF1A6" w14:textId="77777777" w:rsidR="002A7B8B" w:rsidRDefault="00000000">
      <w:pPr>
        <w:spacing w:before="240" w:after="240"/>
      </w:pPr>
      <w:r>
        <w:t>In conclusion, Kinross Gold might not be the best choice as a standalone investment, but within a well-diversified portfolio, it plays an important role. It helps reduce total risk and adds balance, making it a smart strategic choice for long-term investors.</w:t>
      </w:r>
    </w:p>
    <w:p w14:paraId="71FF50F5" w14:textId="77777777" w:rsidR="002A7B8B" w:rsidRDefault="002A7B8B"/>
    <w:p w14:paraId="6AD1B72B" w14:textId="77777777" w:rsidR="002A7B8B" w:rsidRDefault="00000000">
      <w:pPr>
        <w:rPr>
          <w:b/>
        </w:rPr>
      </w:pPr>
      <w:r>
        <w:rPr>
          <w:b/>
        </w:rPr>
        <w:t>6.How should investors price risk? How should they trade off the relation</w:t>
      </w:r>
    </w:p>
    <w:p w14:paraId="0A6CE9AE" w14:textId="77777777" w:rsidR="002A7B8B" w:rsidRDefault="00000000">
      <w:pPr>
        <w:rPr>
          <w:b/>
        </w:rPr>
      </w:pPr>
      <w:r>
        <w:rPr>
          <w:b/>
        </w:rPr>
        <w:t>between risk and return?</w:t>
      </w:r>
    </w:p>
    <w:p w14:paraId="0F4D71D6" w14:textId="77777777" w:rsidR="002A7B8B" w:rsidRDefault="00000000">
      <w:pPr>
        <w:spacing w:before="240" w:after="240"/>
      </w:pPr>
      <w:r>
        <w:lastRenderedPageBreak/>
        <w:t xml:space="preserve">  Investors price risk by demanding higher expected returns for taking on greater uncertainty. This relationship is the foundation of modern finance and is captured by models like the Capital Asset Pricing Model (CAPM).</w:t>
      </w:r>
    </w:p>
    <w:p w14:paraId="2914C602" w14:textId="77777777" w:rsidR="002A7B8B" w:rsidRDefault="00000000">
      <w:pPr>
        <w:rPr>
          <w:b/>
        </w:rPr>
      </w:pPr>
      <w:r>
        <w:rPr>
          <w:rFonts w:ascii="Arial Unicode MS" w:eastAsia="Arial Unicode MS" w:hAnsi="Arial Unicode MS" w:cs="Arial Unicode MS"/>
          <w:b/>
        </w:rPr>
        <w:t>Expected Return= Risk-Free Rate + β × ( Market Return − Risk-Free Rate )</w:t>
      </w:r>
    </w:p>
    <w:p w14:paraId="1CFCF519" w14:textId="77777777" w:rsidR="002A7B8B" w:rsidRDefault="00000000">
      <w:pPr>
        <w:spacing w:before="240" w:after="240"/>
      </w:pPr>
      <w:r>
        <w:t>Here, beta reflects how much a stock’s returns move with the market. A higher beta means more risk and, therefore, a higher return is required to justify the investment.</w:t>
      </w:r>
    </w:p>
    <w:p w14:paraId="2F5386AA" w14:textId="77777777" w:rsidR="002A7B8B" w:rsidRDefault="00000000">
      <w:pPr>
        <w:spacing w:before="240" w:after="240"/>
      </w:pPr>
      <w:r>
        <w:t>Investors should aim to maximize their return for a given level of risk or minimize risk for a given level of return.</w:t>
      </w:r>
    </w:p>
    <w:p w14:paraId="326205A5" w14:textId="77777777" w:rsidR="002A7B8B" w:rsidRDefault="00000000">
      <w:pPr>
        <w:numPr>
          <w:ilvl w:val="0"/>
          <w:numId w:val="2"/>
        </w:numPr>
        <w:spacing w:before="240" w:after="240"/>
      </w:pPr>
      <w:r>
        <w:rPr>
          <w:b/>
        </w:rPr>
        <w:t>Conservative investors</w:t>
      </w:r>
      <w:r>
        <w:t xml:space="preserve"> may prefer low-beta, stable assets with predictable returns, such as government bonds or defensive stocks.</w:t>
      </w:r>
    </w:p>
    <w:p w14:paraId="757F5544" w14:textId="77777777" w:rsidR="002A7B8B" w:rsidRDefault="00000000">
      <w:pPr>
        <w:spacing w:before="240" w:after="240"/>
        <w:rPr>
          <w:b/>
        </w:rPr>
      </w:pPr>
      <w:r>
        <w:t xml:space="preserve">            Example: </w:t>
      </w:r>
      <w:r>
        <w:rPr>
          <w:b/>
        </w:rPr>
        <w:t>Kellogg</w:t>
      </w:r>
    </w:p>
    <w:p w14:paraId="30F7191A" w14:textId="77777777" w:rsidR="002A7B8B" w:rsidRDefault="00000000">
      <w:pPr>
        <w:numPr>
          <w:ilvl w:val="0"/>
          <w:numId w:val="8"/>
        </w:numPr>
        <w:spacing w:before="240"/>
        <w:rPr>
          <w:b/>
        </w:rPr>
      </w:pPr>
      <w:r>
        <w:rPr>
          <w:b/>
        </w:rPr>
        <w:t>Beta:</w:t>
      </w:r>
      <w:r>
        <w:t xml:space="preserve"> 0.54 (low sensitivity to market movements)</w:t>
      </w:r>
    </w:p>
    <w:p w14:paraId="128AB69E" w14:textId="77777777" w:rsidR="002A7B8B" w:rsidRDefault="00000000">
      <w:pPr>
        <w:numPr>
          <w:ilvl w:val="0"/>
          <w:numId w:val="8"/>
        </w:numPr>
        <w:rPr>
          <w:b/>
        </w:rPr>
      </w:pPr>
      <w:r>
        <w:rPr>
          <w:b/>
        </w:rPr>
        <w:t>Standard Deviation:</w:t>
      </w:r>
      <w:r>
        <w:t xml:space="preserve"> 14.6% (lowest among all four)</w:t>
      </w:r>
    </w:p>
    <w:p w14:paraId="6E8C7967" w14:textId="77777777" w:rsidR="002A7B8B" w:rsidRDefault="00000000">
      <w:pPr>
        <w:numPr>
          <w:ilvl w:val="0"/>
          <w:numId w:val="8"/>
        </w:numPr>
        <w:rPr>
          <w:b/>
        </w:rPr>
      </w:pPr>
      <w:r>
        <w:rPr>
          <w:b/>
        </w:rPr>
        <w:t>Anticipated Return:</w:t>
      </w:r>
      <w:r>
        <w:t xml:space="preserve"> 4.6%</w:t>
      </w:r>
    </w:p>
    <w:p w14:paraId="1E1A527D" w14:textId="77777777" w:rsidR="002A7B8B" w:rsidRDefault="00000000">
      <w:pPr>
        <w:numPr>
          <w:ilvl w:val="0"/>
          <w:numId w:val="8"/>
        </w:numPr>
        <w:spacing w:after="240"/>
        <w:rPr>
          <w:b/>
        </w:rPr>
      </w:pPr>
      <w:r>
        <w:rPr>
          <w:b/>
        </w:rPr>
        <w:t>Sharpe Ratio:</w:t>
      </w:r>
      <w:r>
        <w:t>0.15 ( Moderate )</w:t>
      </w:r>
      <w:r>
        <w:br/>
      </w:r>
    </w:p>
    <w:p w14:paraId="72DB58CD" w14:textId="77777777" w:rsidR="002A7B8B" w:rsidRDefault="00000000">
      <w:pPr>
        <w:spacing w:before="240" w:after="240"/>
        <w:ind w:left="720"/>
      </w:pPr>
      <w:r>
        <w:t>Kellogg is a defensive stock from the consumer staples sector. Its lower beta and volatility make it ideal for investors who want to preserve capital and avoid large swings in value.</w:t>
      </w:r>
    </w:p>
    <w:p w14:paraId="63EAB70B" w14:textId="77777777" w:rsidR="002A7B8B" w:rsidRDefault="002A7B8B">
      <w:pPr>
        <w:spacing w:before="240" w:after="240"/>
        <w:ind w:left="720"/>
      </w:pPr>
    </w:p>
    <w:p w14:paraId="3E7D0387" w14:textId="77777777" w:rsidR="002A7B8B" w:rsidRDefault="00000000">
      <w:pPr>
        <w:numPr>
          <w:ilvl w:val="0"/>
          <w:numId w:val="2"/>
        </w:numPr>
        <w:spacing w:before="240" w:after="240"/>
      </w:pPr>
      <w:r>
        <w:rPr>
          <w:b/>
        </w:rPr>
        <w:t>Aggressive investors</w:t>
      </w:r>
      <w:r>
        <w:t xml:space="preserve"> may choose higher-beta, volatile assets that offer the chance for greater returns, but also carry more risk.</w:t>
      </w:r>
    </w:p>
    <w:p w14:paraId="5CFD2669" w14:textId="77777777" w:rsidR="002A7B8B" w:rsidRDefault="00000000">
      <w:pPr>
        <w:spacing w:before="240" w:after="240"/>
        <w:ind w:left="720"/>
        <w:rPr>
          <w:b/>
        </w:rPr>
      </w:pPr>
      <w:r>
        <w:t xml:space="preserve">Example: </w:t>
      </w:r>
      <w:r>
        <w:rPr>
          <w:b/>
        </w:rPr>
        <w:t>Groupon</w:t>
      </w:r>
    </w:p>
    <w:p w14:paraId="76B77836" w14:textId="77777777" w:rsidR="002A7B8B" w:rsidRDefault="00000000">
      <w:pPr>
        <w:numPr>
          <w:ilvl w:val="0"/>
          <w:numId w:val="3"/>
        </w:numPr>
        <w:spacing w:before="240"/>
      </w:pPr>
      <w:r>
        <w:rPr>
          <w:b/>
        </w:rPr>
        <w:t>Beta:</w:t>
      </w:r>
      <w:r>
        <w:t xml:space="preserve"> 1.44 (highest in the group; very sensitive to market changes)</w:t>
      </w:r>
    </w:p>
    <w:p w14:paraId="778BA94C" w14:textId="77777777" w:rsidR="002A7B8B" w:rsidRDefault="00000000">
      <w:pPr>
        <w:numPr>
          <w:ilvl w:val="0"/>
          <w:numId w:val="3"/>
        </w:numPr>
      </w:pPr>
      <w:r>
        <w:rPr>
          <w:b/>
        </w:rPr>
        <w:t>Standard Deviation:</w:t>
      </w:r>
      <w:r>
        <w:t xml:space="preserve"> 67.1% (highest volatility)</w:t>
      </w:r>
    </w:p>
    <w:p w14:paraId="43EAC836" w14:textId="77777777" w:rsidR="002A7B8B" w:rsidRDefault="00000000">
      <w:pPr>
        <w:numPr>
          <w:ilvl w:val="0"/>
          <w:numId w:val="3"/>
        </w:numPr>
      </w:pPr>
      <w:r>
        <w:rPr>
          <w:b/>
        </w:rPr>
        <w:t>Anticipated Return:</w:t>
      </w:r>
      <w:r>
        <w:t xml:space="preserve"> 9.3%</w:t>
      </w:r>
    </w:p>
    <w:p w14:paraId="210FA659" w14:textId="77777777" w:rsidR="002A7B8B" w:rsidRDefault="00000000">
      <w:pPr>
        <w:numPr>
          <w:ilvl w:val="0"/>
          <w:numId w:val="3"/>
        </w:numPr>
        <w:spacing w:after="240"/>
      </w:pPr>
      <w:r>
        <w:rPr>
          <w:b/>
        </w:rPr>
        <w:t>Sharpe Ratio:</w:t>
      </w:r>
      <w:r>
        <w:t xml:space="preserve"> Lowest among all</w:t>
      </w:r>
      <w:r>
        <w:br/>
      </w:r>
    </w:p>
    <w:p w14:paraId="706D58EE" w14:textId="77777777" w:rsidR="002A7B8B" w:rsidRDefault="00000000">
      <w:pPr>
        <w:spacing w:before="240" w:after="240"/>
        <w:ind w:left="720"/>
      </w:pPr>
      <w:r>
        <w:t>Groupon’s returns are highly volatile and unpredictable, but it offers a chance for strong gains in bullish markets. It suits risk-tolerant investors seeking growth and speculation opportunities.</w:t>
      </w:r>
      <w:r>
        <w:br/>
      </w:r>
    </w:p>
    <w:p w14:paraId="2DF98FEF" w14:textId="77777777" w:rsidR="002A7B8B" w:rsidRDefault="00000000">
      <w:pPr>
        <w:spacing w:before="240" w:after="240"/>
        <w:rPr>
          <w:b/>
        </w:rPr>
      </w:pPr>
      <w:r>
        <w:rPr>
          <w:b/>
        </w:rPr>
        <w:t>CONCLUSION</w:t>
      </w:r>
    </w:p>
    <w:p w14:paraId="5A1385D6" w14:textId="77777777" w:rsidR="002A7B8B" w:rsidRDefault="00000000">
      <w:pPr>
        <w:spacing w:before="240" w:after="240"/>
      </w:pPr>
      <w:r>
        <w:lastRenderedPageBreak/>
        <w:t>The key is to evaluate investments based on risk-adjusted performance. Metrics like the Sharpe Ratio help here by measuring how much excess return an investor receives per unit of risk. A higher Sharpe Ratio indicates a more attractive investment on a risk-return basis.</w:t>
      </w:r>
    </w:p>
    <w:p w14:paraId="3A023D8E" w14:textId="77777777" w:rsidR="002A7B8B" w:rsidRDefault="002A7B8B">
      <w:pPr>
        <w:spacing w:before="240" w:after="240"/>
      </w:pPr>
    </w:p>
    <w:p w14:paraId="03005020" w14:textId="77777777" w:rsidR="002A7B8B" w:rsidRDefault="00000000">
      <w:pPr>
        <w:spacing w:before="240" w:after="240"/>
        <w:rPr>
          <w:b/>
        </w:rPr>
      </w:pPr>
      <w:r>
        <w:rPr>
          <w:b/>
        </w:rPr>
        <w:t>7. What is the risk-adjusted benchmark return on the S&amp;P 500 portfolio? On</w:t>
      </w:r>
    </w:p>
    <w:p w14:paraId="3E0E7F71" w14:textId="77777777" w:rsidR="002A7B8B" w:rsidRDefault="00000000">
      <w:pPr>
        <w:spacing w:before="240" w:after="240"/>
        <w:rPr>
          <w:b/>
          <w:sz w:val="46"/>
          <w:szCs w:val="46"/>
        </w:rPr>
      </w:pPr>
      <w:r>
        <w:rPr>
          <w:b/>
        </w:rPr>
        <w:t>the proposed stocks?</w:t>
      </w:r>
    </w:p>
    <w:p w14:paraId="4D3BE526" w14:textId="77777777" w:rsidR="002A7B8B" w:rsidRDefault="00000000">
      <w:pPr>
        <w:spacing w:before="240" w:after="240"/>
      </w:pPr>
      <w:r>
        <w:t>The Sharpe Ratio is a measure of risk-adjusted return. It evaluates how much excess return you receive for the extra volatility you endure for holding a riskier asset.Higher the Sharpe ratio better is the stock to invest in.</w:t>
      </w:r>
    </w:p>
    <w:p w14:paraId="0DD2BE25" w14:textId="77777777" w:rsidR="002A7B8B" w:rsidRDefault="00000000">
      <w:pPr>
        <w:spacing w:before="240" w:after="240"/>
      </w:pPr>
      <w:r>
        <w:t>Formula:</w:t>
      </w:r>
    </w:p>
    <w:p w14:paraId="68D55506" w14:textId="77777777" w:rsidR="002A7B8B" w:rsidRDefault="00000000">
      <w:pPr>
        <w:spacing w:before="200" w:after="280"/>
        <w:ind w:left="940" w:right="940"/>
        <w:rPr>
          <w:b/>
        </w:rPr>
      </w:pPr>
      <w:r>
        <w:rPr>
          <w:b/>
        </w:rPr>
        <w:t>Sharpe Ratio = (Rp - Rf) / σp</w:t>
      </w:r>
    </w:p>
    <w:p w14:paraId="5B2BC13D" w14:textId="77777777" w:rsidR="002A7B8B" w:rsidRDefault="00000000">
      <w:pPr>
        <w:spacing w:before="240" w:after="240"/>
      </w:pPr>
      <w:r>
        <w:t>Where:</w:t>
      </w:r>
    </w:p>
    <w:p w14:paraId="38A116E1" w14:textId="77777777" w:rsidR="002A7B8B" w:rsidRDefault="00000000">
      <w:pPr>
        <w:numPr>
          <w:ilvl w:val="0"/>
          <w:numId w:val="6"/>
        </w:numPr>
        <w:spacing w:before="240"/>
      </w:pPr>
      <w:r>
        <w:t>• Rp : Portfolio return</w:t>
      </w:r>
    </w:p>
    <w:p w14:paraId="16F787CA" w14:textId="77777777" w:rsidR="002A7B8B" w:rsidRDefault="00000000">
      <w:pPr>
        <w:numPr>
          <w:ilvl w:val="0"/>
          <w:numId w:val="6"/>
        </w:numPr>
      </w:pPr>
      <w:r>
        <w:t>• Rf : Risk-free rate (e.g., yield on 3-month T-bills)</w:t>
      </w:r>
    </w:p>
    <w:p w14:paraId="3120FFE3" w14:textId="77777777" w:rsidR="002A7B8B" w:rsidRDefault="00000000">
      <w:pPr>
        <w:numPr>
          <w:ilvl w:val="0"/>
          <w:numId w:val="6"/>
        </w:numPr>
        <w:spacing w:after="240"/>
      </w:pPr>
      <w:r>
        <w:t>• σp : Standard deviation of portfolio returns</w:t>
      </w:r>
    </w:p>
    <w:p w14:paraId="5A058772" w14:textId="77777777" w:rsidR="002A7B8B" w:rsidRDefault="002A7B8B">
      <w:pPr>
        <w:spacing w:before="240" w:after="240"/>
        <w:rPr>
          <w:b/>
        </w:rPr>
      </w:pPr>
    </w:p>
    <w:tbl>
      <w:tblPr>
        <w:tblStyle w:val="a1"/>
        <w:tblpPr w:leftFromText="180" w:rightFromText="180" w:topFromText="180" w:bottomFromText="180" w:vertAnchor="text" w:tblpX="-675"/>
        <w:tblW w:w="108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25"/>
        <w:gridCol w:w="2250"/>
        <w:gridCol w:w="1740"/>
        <w:gridCol w:w="1290"/>
        <w:gridCol w:w="2070"/>
        <w:gridCol w:w="2055"/>
      </w:tblGrid>
      <w:tr w:rsidR="002A7B8B" w14:paraId="1F503E80" w14:textId="77777777">
        <w:trPr>
          <w:trHeight w:val="450"/>
        </w:trPr>
        <w:tc>
          <w:tcPr>
            <w:tcW w:w="1425" w:type="dxa"/>
            <w:tcBorders>
              <w:top w:val="single" w:sz="5" w:space="0" w:color="000000"/>
              <w:left w:val="single" w:sz="5" w:space="0" w:color="000000"/>
              <w:bottom w:val="single" w:sz="5" w:space="0" w:color="000000"/>
              <w:right w:val="single" w:sz="5" w:space="0" w:color="000000"/>
            </w:tcBorders>
            <w:tcMar>
              <w:top w:w="0" w:type="dxa"/>
              <w:bottom w:w="0" w:type="dxa"/>
            </w:tcMar>
          </w:tcPr>
          <w:p w14:paraId="212A1468" w14:textId="77777777" w:rsidR="002A7B8B" w:rsidRDefault="00000000">
            <w:pPr>
              <w:spacing w:before="240" w:after="160" w:line="256" w:lineRule="auto"/>
              <w:rPr>
                <w:b/>
              </w:rPr>
            </w:pPr>
            <w:r>
              <w:rPr>
                <w:b/>
              </w:rPr>
              <w:t>Stock</w:t>
            </w:r>
          </w:p>
        </w:tc>
        <w:tc>
          <w:tcPr>
            <w:tcW w:w="2250" w:type="dxa"/>
            <w:tcBorders>
              <w:top w:val="single" w:sz="5" w:space="0" w:color="000000"/>
              <w:left w:val="single" w:sz="5" w:space="0" w:color="000000"/>
              <w:bottom w:val="single" w:sz="5" w:space="0" w:color="000000"/>
              <w:right w:val="single" w:sz="5" w:space="0" w:color="000000"/>
            </w:tcBorders>
            <w:tcMar>
              <w:top w:w="0" w:type="dxa"/>
              <w:bottom w:w="0" w:type="dxa"/>
            </w:tcMar>
          </w:tcPr>
          <w:p w14:paraId="665D9426" w14:textId="77777777" w:rsidR="002A7B8B" w:rsidRDefault="00000000">
            <w:pPr>
              <w:spacing w:before="240" w:after="160" w:line="256" w:lineRule="auto"/>
              <w:rPr>
                <w:b/>
              </w:rPr>
            </w:pPr>
            <w:r>
              <w:rPr>
                <w:b/>
              </w:rPr>
              <w:t>Anticipated Return</w:t>
            </w:r>
          </w:p>
        </w:tc>
        <w:tc>
          <w:tcPr>
            <w:tcW w:w="1740" w:type="dxa"/>
            <w:tcBorders>
              <w:top w:val="single" w:sz="5" w:space="0" w:color="000000"/>
              <w:left w:val="single" w:sz="5" w:space="0" w:color="000000"/>
              <w:bottom w:val="single" w:sz="5" w:space="0" w:color="000000"/>
              <w:right w:val="single" w:sz="5" w:space="0" w:color="000000"/>
            </w:tcBorders>
            <w:tcMar>
              <w:top w:w="0" w:type="dxa"/>
              <w:bottom w:w="0" w:type="dxa"/>
            </w:tcMar>
          </w:tcPr>
          <w:p w14:paraId="2F0962C0" w14:textId="77777777" w:rsidR="002A7B8B" w:rsidRDefault="00000000">
            <w:pPr>
              <w:spacing w:before="240" w:after="160" w:line="256" w:lineRule="auto"/>
              <w:rPr>
                <w:b/>
              </w:rPr>
            </w:pPr>
            <w:r>
              <w:rPr>
                <w:b/>
              </w:rPr>
              <w:t>Std Dev (σ)</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161E3DA3" w14:textId="77777777" w:rsidR="002A7B8B" w:rsidRDefault="00000000">
            <w:pPr>
              <w:spacing w:before="240" w:after="160" w:line="256" w:lineRule="auto"/>
              <w:rPr>
                <w:b/>
              </w:rPr>
            </w:pPr>
            <w:r>
              <w:rPr>
                <w:b/>
              </w:rPr>
              <w:t>Beta (β)</w:t>
            </w:r>
          </w:p>
        </w:tc>
        <w:tc>
          <w:tcPr>
            <w:tcW w:w="2070" w:type="dxa"/>
            <w:tcBorders>
              <w:top w:val="single" w:sz="5" w:space="0" w:color="000000"/>
              <w:left w:val="single" w:sz="5" w:space="0" w:color="000000"/>
              <w:bottom w:val="single" w:sz="5" w:space="0" w:color="000000"/>
              <w:right w:val="single" w:sz="5" w:space="0" w:color="000000"/>
            </w:tcBorders>
            <w:tcMar>
              <w:top w:w="0" w:type="dxa"/>
              <w:bottom w:w="0" w:type="dxa"/>
            </w:tcMar>
          </w:tcPr>
          <w:p w14:paraId="212F608C" w14:textId="77777777" w:rsidR="002A7B8B" w:rsidRDefault="00000000">
            <w:pPr>
              <w:spacing w:before="240" w:after="240"/>
              <w:jc w:val="center"/>
              <w:rPr>
                <w:b/>
              </w:rPr>
            </w:pPr>
            <w:r>
              <w:rPr>
                <w:b/>
              </w:rPr>
              <w:t>CAPM Return</w:t>
            </w:r>
          </w:p>
        </w:tc>
        <w:tc>
          <w:tcPr>
            <w:tcW w:w="2055" w:type="dxa"/>
            <w:tcBorders>
              <w:top w:val="single" w:sz="5" w:space="0" w:color="000000"/>
              <w:left w:val="single" w:sz="5" w:space="0" w:color="000000"/>
              <w:bottom w:val="single" w:sz="5" w:space="0" w:color="000000"/>
              <w:right w:val="single" w:sz="5" w:space="0" w:color="000000"/>
            </w:tcBorders>
            <w:tcMar>
              <w:top w:w="0" w:type="dxa"/>
              <w:bottom w:w="0" w:type="dxa"/>
            </w:tcMar>
          </w:tcPr>
          <w:p w14:paraId="31979588" w14:textId="77777777" w:rsidR="002A7B8B" w:rsidRDefault="00000000">
            <w:pPr>
              <w:spacing w:before="240" w:after="240"/>
              <w:jc w:val="center"/>
              <w:rPr>
                <w:b/>
              </w:rPr>
            </w:pPr>
            <w:r>
              <w:rPr>
                <w:b/>
              </w:rPr>
              <w:t>Sharpe Ratio</w:t>
            </w:r>
          </w:p>
        </w:tc>
      </w:tr>
      <w:tr w:rsidR="002A7B8B" w14:paraId="0730051B" w14:textId="77777777">
        <w:trPr>
          <w:trHeight w:val="835"/>
        </w:trPr>
        <w:tc>
          <w:tcPr>
            <w:tcW w:w="1425" w:type="dxa"/>
            <w:tcBorders>
              <w:top w:val="single" w:sz="5" w:space="0" w:color="000000"/>
              <w:left w:val="single" w:sz="5" w:space="0" w:color="000000"/>
              <w:bottom w:val="single" w:sz="5" w:space="0" w:color="000000"/>
              <w:right w:val="single" w:sz="5" w:space="0" w:color="000000"/>
            </w:tcBorders>
            <w:tcMar>
              <w:top w:w="0" w:type="dxa"/>
              <w:bottom w:w="0" w:type="dxa"/>
            </w:tcMar>
          </w:tcPr>
          <w:p w14:paraId="647A81E6" w14:textId="77777777" w:rsidR="002A7B8B" w:rsidRDefault="00000000">
            <w:pPr>
              <w:spacing w:before="240" w:after="160" w:line="256" w:lineRule="auto"/>
              <w:rPr>
                <w:b/>
              </w:rPr>
            </w:pPr>
            <w:r>
              <w:rPr>
                <w:b/>
              </w:rPr>
              <w:t>Delphi</w:t>
            </w:r>
          </w:p>
        </w:tc>
        <w:tc>
          <w:tcPr>
            <w:tcW w:w="2250" w:type="dxa"/>
            <w:tcBorders>
              <w:top w:val="single" w:sz="5" w:space="0" w:color="000000"/>
              <w:left w:val="single" w:sz="5" w:space="0" w:color="000000"/>
              <w:bottom w:val="single" w:sz="5" w:space="0" w:color="000000"/>
              <w:right w:val="single" w:sz="5" w:space="0" w:color="000000"/>
            </w:tcBorders>
            <w:tcMar>
              <w:top w:w="0" w:type="dxa"/>
              <w:bottom w:w="0" w:type="dxa"/>
            </w:tcMar>
          </w:tcPr>
          <w:p w14:paraId="4AD646BF" w14:textId="77777777" w:rsidR="002A7B8B" w:rsidRDefault="00000000">
            <w:pPr>
              <w:spacing w:before="240" w:after="160" w:line="256" w:lineRule="auto"/>
            </w:pPr>
            <w:r>
              <w:t>9.1%</w:t>
            </w:r>
          </w:p>
        </w:tc>
        <w:tc>
          <w:tcPr>
            <w:tcW w:w="1740" w:type="dxa"/>
            <w:tcBorders>
              <w:top w:val="single" w:sz="5" w:space="0" w:color="000000"/>
              <w:left w:val="single" w:sz="5" w:space="0" w:color="000000"/>
              <w:bottom w:val="single" w:sz="5" w:space="0" w:color="000000"/>
              <w:right w:val="single" w:sz="5" w:space="0" w:color="000000"/>
            </w:tcBorders>
            <w:tcMar>
              <w:top w:w="0" w:type="dxa"/>
              <w:bottom w:w="0" w:type="dxa"/>
            </w:tcMar>
          </w:tcPr>
          <w:p w14:paraId="1964E056" w14:textId="77777777" w:rsidR="002A7B8B" w:rsidRDefault="00000000">
            <w:pPr>
              <w:spacing w:before="240" w:after="160" w:line="256" w:lineRule="auto"/>
            </w:pPr>
            <w:r>
              <w:t>24.6%</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4DFEF9A4" w14:textId="77777777" w:rsidR="002A7B8B" w:rsidRDefault="00000000">
            <w:pPr>
              <w:spacing w:before="240" w:after="160" w:line="256" w:lineRule="auto"/>
            </w:pPr>
            <w:r>
              <w:t>1.29</w:t>
            </w:r>
          </w:p>
        </w:tc>
        <w:tc>
          <w:tcPr>
            <w:tcW w:w="2070" w:type="dxa"/>
            <w:tcBorders>
              <w:top w:val="single" w:sz="5" w:space="0" w:color="000000"/>
              <w:left w:val="single" w:sz="5" w:space="0" w:color="000000"/>
              <w:bottom w:val="single" w:sz="5" w:space="0" w:color="000000"/>
              <w:right w:val="single" w:sz="5" w:space="0" w:color="000000"/>
            </w:tcBorders>
            <w:tcMar>
              <w:top w:w="0" w:type="dxa"/>
              <w:bottom w:w="0" w:type="dxa"/>
            </w:tcMar>
          </w:tcPr>
          <w:p w14:paraId="49BBDD79" w14:textId="77777777" w:rsidR="002A7B8B" w:rsidRDefault="00000000">
            <w:pPr>
              <w:spacing w:before="240" w:after="160" w:line="256" w:lineRule="auto"/>
            </w:pPr>
            <w:r>
              <w:t>14.28%</w:t>
            </w:r>
          </w:p>
        </w:tc>
        <w:tc>
          <w:tcPr>
            <w:tcW w:w="2055" w:type="dxa"/>
            <w:tcBorders>
              <w:top w:val="single" w:sz="5" w:space="0" w:color="000000"/>
              <w:left w:val="single" w:sz="5" w:space="0" w:color="000000"/>
              <w:bottom w:val="single" w:sz="5" w:space="0" w:color="000000"/>
              <w:right w:val="single" w:sz="5" w:space="0" w:color="000000"/>
            </w:tcBorders>
            <w:tcMar>
              <w:top w:w="0" w:type="dxa"/>
              <w:bottom w:w="0" w:type="dxa"/>
            </w:tcMar>
          </w:tcPr>
          <w:p w14:paraId="472C3D14" w14:textId="77777777" w:rsidR="002A7B8B" w:rsidRDefault="00000000">
            <w:pPr>
              <w:spacing w:before="240" w:after="160" w:line="256" w:lineRule="auto"/>
            </w:pPr>
            <w:r>
              <w:t>0.27</w:t>
            </w:r>
          </w:p>
        </w:tc>
      </w:tr>
      <w:tr w:rsidR="002A7B8B" w14:paraId="4AC01D6F" w14:textId="77777777">
        <w:trPr>
          <w:trHeight w:val="850"/>
        </w:trPr>
        <w:tc>
          <w:tcPr>
            <w:tcW w:w="1425" w:type="dxa"/>
            <w:tcBorders>
              <w:top w:val="single" w:sz="5" w:space="0" w:color="000000"/>
              <w:left w:val="single" w:sz="5" w:space="0" w:color="000000"/>
              <w:bottom w:val="single" w:sz="5" w:space="0" w:color="000000"/>
              <w:right w:val="single" w:sz="5" w:space="0" w:color="000000"/>
            </w:tcBorders>
            <w:tcMar>
              <w:top w:w="0" w:type="dxa"/>
              <w:bottom w:w="0" w:type="dxa"/>
            </w:tcMar>
          </w:tcPr>
          <w:p w14:paraId="5840924E" w14:textId="77777777" w:rsidR="002A7B8B" w:rsidRDefault="00000000">
            <w:pPr>
              <w:spacing w:before="240" w:after="160" w:line="256" w:lineRule="auto"/>
              <w:rPr>
                <w:b/>
              </w:rPr>
            </w:pPr>
            <w:r>
              <w:rPr>
                <w:b/>
              </w:rPr>
              <w:t>Groupon</w:t>
            </w:r>
          </w:p>
        </w:tc>
        <w:tc>
          <w:tcPr>
            <w:tcW w:w="2250" w:type="dxa"/>
            <w:tcBorders>
              <w:top w:val="single" w:sz="5" w:space="0" w:color="000000"/>
              <w:left w:val="single" w:sz="5" w:space="0" w:color="000000"/>
              <w:bottom w:val="single" w:sz="5" w:space="0" w:color="000000"/>
              <w:right w:val="single" w:sz="5" w:space="0" w:color="000000"/>
            </w:tcBorders>
            <w:tcMar>
              <w:top w:w="0" w:type="dxa"/>
              <w:bottom w:w="0" w:type="dxa"/>
            </w:tcMar>
          </w:tcPr>
          <w:p w14:paraId="4039AEB3" w14:textId="77777777" w:rsidR="002A7B8B" w:rsidRDefault="00000000">
            <w:pPr>
              <w:spacing w:before="240" w:after="160" w:line="256" w:lineRule="auto"/>
            </w:pPr>
            <w:r>
              <w:t>9.3%</w:t>
            </w:r>
          </w:p>
        </w:tc>
        <w:tc>
          <w:tcPr>
            <w:tcW w:w="1740" w:type="dxa"/>
            <w:tcBorders>
              <w:top w:val="single" w:sz="5" w:space="0" w:color="000000"/>
              <w:left w:val="single" w:sz="5" w:space="0" w:color="000000"/>
              <w:bottom w:val="single" w:sz="5" w:space="0" w:color="000000"/>
              <w:right w:val="single" w:sz="5" w:space="0" w:color="000000"/>
            </w:tcBorders>
            <w:tcMar>
              <w:top w:w="0" w:type="dxa"/>
              <w:bottom w:w="0" w:type="dxa"/>
            </w:tcMar>
          </w:tcPr>
          <w:p w14:paraId="7FEFE63C" w14:textId="77777777" w:rsidR="002A7B8B" w:rsidRDefault="00000000">
            <w:pPr>
              <w:spacing w:before="240" w:after="160" w:line="256" w:lineRule="auto"/>
            </w:pPr>
            <w:r>
              <w:t>67.1%</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31608A80" w14:textId="77777777" w:rsidR="002A7B8B" w:rsidRDefault="00000000">
            <w:pPr>
              <w:spacing w:before="240" w:after="160" w:line="256" w:lineRule="auto"/>
            </w:pPr>
            <w:r>
              <w:t>1.44</w:t>
            </w:r>
          </w:p>
        </w:tc>
        <w:tc>
          <w:tcPr>
            <w:tcW w:w="2070" w:type="dxa"/>
            <w:tcBorders>
              <w:top w:val="single" w:sz="5" w:space="0" w:color="000000"/>
              <w:left w:val="single" w:sz="5" w:space="0" w:color="000000"/>
              <w:bottom w:val="single" w:sz="5" w:space="0" w:color="000000"/>
              <w:right w:val="single" w:sz="5" w:space="0" w:color="000000"/>
            </w:tcBorders>
            <w:tcMar>
              <w:top w:w="0" w:type="dxa"/>
              <w:bottom w:w="0" w:type="dxa"/>
            </w:tcMar>
          </w:tcPr>
          <w:p w14:paraId="5FAE3055" w14:textId="77777777" w:rsidR="002A7B8B" w:rsidRDefault="00000000">
            <w:pPr>
              <w:spacing w:before="240" w:after="160" w:line="256" w:lineRule="auto"/>
            </w:pPr>
            <w:r>
              <w:t>15.46%</w:t>
            </w:r>
          </w:p>
        </w:tc>
        <w:tc>
          <w:tcPr>
            <w:tcW w:w="2055" w:type="dxa"/>
            <w:tcBorders>
              <w:top w:val="single" w:sz="5" w:space="0" w:color="000000"/>
              <w:left w:val="single" w:sz="5" w:space="0" w:color="000000"/>
              <w:bottom w:val="single" w:sz="5" w:space="0" w:color="000000"/>
              <w:right w:val="single" w:sz="5" w:space="0" w:color="000000"/>
            </w:tcBorders>
            <w:tcMar>
              <w:top w:w="0" w:type="dxa"/>
              <w:bottom w:w="0" w:type="dxa"/>
            </w:tcMar>
          </w:tcPr>
          <w:p w14:paraId="388112EF" w14:textId="77777777" w:rsidR="002A7B8B" w:rsidRDefault="00000000">
            <w:pPr>
              <w:spacing w:before="240" w:after="160" w:line="256" w:lineRule="auto"/>
            </w:pPr>
            <w:r>
              <w:t>0.10</w:t>
            </w:r>
          </w:p>
        </w:tc>
      </w:tr>
      <w:tr w:rsidR="002A7B8B" w14:paraId="5E0ED876" w14:textId="77777777">
        <w:trPr>
          <w:trHeight w:val="865"/>
        </w:trPr>
        <w:tc>
          <w:tcPr>
            <w:tcW w:w="1425" w:type="dxa"/>
            <w:tcBorders>
              <w:top w:val="single" w:sz="5" w:space="0" w:color="000000"/>
              <w:left w:val="single" w:sz="5" w:space="0" w:color="000000"/>
              <w:bottom w:val="single" w:sz="5" w:space="0" w:color="000000"/>
              <w:right w:val="single" w:sz="5" w:space="0" w:color="000000"/>
            </w:tcBorders>
            <w:tcMar>
              <w:top w:w="0" w:type="dxa"/>
              <w:bottom w:w="0" w:type="dxa"/>
            </w:tcMar>
          </w:tcPr>
          <w:p w14:paraId="47361785" w14:textId="77777777" w:rsidR="002A7B8B" w:rsidRDefault="00000000">
            <w:pPr>
              <w:spacing w:before="240" w:after="160" w:line="256" w:lineRule="auto"/>
              <w:rPr>
                <w:b/>
              </w:rPr>
            </w:pPr>
            <w:r>
              <w:rPr>
                <w:b/>
              </w:rPr>
              <w:t>Kellogg</w:t>
            </w:r>
          </w:p>
        </w:tc>
        <w:tc>
          <w:tcPr>
            <w:tcW w:w="2250" w:type="dxa"/>
            <w:tcBorders>
              <w:top w:val="single" w:sz="5" w:space="0" w:color="000000"/>
              <w:left w:val="single" w:sz="5" w:space="0" w:color="000000"/>
              <w:bottom w:val="single" w:sz="5" w:space="0" w:color="000000"/>
              <w:right w:val="single" w:sz="5" w:space="0" w:color="000000"/>
            </w:tcBorders>
            <w:tcMar>
              <w:top w:w="0" w:type="dxa"/>
              <w:bottom w:w="0" w:type="dxa"/>
            </w:tcMar>
          </w:tcPr>
          <w:p w14:paraId="01312E40" w14:textId="77777777" w:rsidR="002A7B8B" w:rsidRDefault="00000000">
            <w:pPr>
              <w:spacing w:before="240" w:after="160" w:line="256" w:lineRule="auto"/>
            </w:pPr>
            <w:r>
              <w:t>4.6%</w:t>
            </w:r>
          </w:p>
        </w:tc>
        <w:tc>
          <w:tcPr>
            <w:tcW w:w="1740" w:type="dxa"/>
            <w:tcBorders>
              <w:top w:val="single" w:sz="5" w:space="0" w:color="000000"/>
              <w:left w:val="single" w:sz="5" w:space="0" w:color="000000"/>
              <w:bottom w:val="single" w:sz="5" w:space="0" w:color="000000"/>
              <w:right w:val="single" w:sz="5" w:space="0" w:color="000000"/>
            </w:tcBorders>
            <w:tcMar>
              <w:top w:w="0" w:type="dxa"/>
              <w:bottom w:w="0" w:type="dxa"/>
            </w:tcMar>
          </w:tcPr>
          <w:p w14:paraId="56C7F410" w14:textId="77777777" w:rsidR="002A7B8B" w:rsidRDefault="00000000">
            <w:pPr>
              <w:spacing w:before="240" w:after="160" w:line="256" w:lineRule="auto"/>
            </w:pPr>
            <w:r>
              <w:t>14.6%</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4FEAE719" w14:textId="77777777" w:rsidR="002A7B8B" w:rsidRDefault="00000000">
            <w:pPr>
              <w:spacing w:before="240" w:after="160" w:line="256" w:lineRule="auto"/>
            </w:pPr>
            <w:r>
              <w:t>0.54</w:t>
            </w:r>
          </w:p>
        </w:tc>
        <w:tc>
          <w:tcPr>
            <w:tcW w:w="2070" w:type="dxa"/>
            <w:tcBorders>
              <w:top w:val="single" w:sz="5" w:space="0" w:color="000000"/>
              <w:left w:val="single" w:sz="5" w:space="0" w:color="000000"/>
              <w:bottom w:val="single" w:sz="5" w:space="0" w:color="000000"/>
              <w:right w:val="single" w:sz="5" w:space="0" w:color="000000"/>
            </w:tcBorders>
            <w:tcMar>
              <w:top w:w="0" w:type="dxa"/>
              <w:bottom w:w="0" w:type="dxa"/>
            </w:tcMar>
          </w:tcPr>
          <w:p w14:paraId="01B094DC" w14:textId="77777777" w:rsidR="002A7B8B" w:rsidRDefault="00000000">
            <w:pPr>
              <w:spacing w:before="240" w:after="160" w:line="256" w:lineRule="auto"/>
            </w:pPr>
            <w:r>
              <w:t>6.83%</w:t>
            </w:r>
          </w:p>
        </w:tc>
        <w:tc>
          <w:tcPr>
            <w:tcW w:w="2055" w:type="dxa"/>
            <w:tcBorders>
              <w:top w:val="single" w:sz="5" w:space="0" w:color="000000"/>
              <w:left w:val="single" w:sz="5" w:space="0" w:color="000000"/>
              <w:bottom w:val="single" w:sz="5" w:space="0" w:color="000000"/>
              <w:right w:val="single" w:sz="5" w:space="0" w:color="000000"/>
            </w:tcBorders>
            <w:tcMar>
              <w:top w:w="0" w:type="dxa"/>
              <w:bottom w:w="0" w:type="dxa"/>
            </w:tcMar>
          </w:tcPr>
          <w:p w14:paraId="6E4B692D" w14:textId="77777777" w:rsidR="002A7B8B" w:rsidRDefault="00000000">
            <w:pPr>
              <w:spacing w:before="240" w:after="160" w:line="256" w:lineRule="auto"/>
            </w:pPr>
            <w:r>
              <w:t>0.15</w:t>
            </w:r>
          </w:p>
        </w:tc>
      </w:tr>
      <w:tr w:rsidR="002A7B8B" w14:paraId="3D05E1CA" w14:textId="77777777">
        <w:trPr>
          <w:trHeight w:val="870"/>
        </w:trPr>
        <w:tc>
          <w:tcPr>
            <w:tcW w:w="1425" w:type="dxa"/>
            <w:tcBorders>
              <w:top w:val="single" w:sz="5" w:space="0" w:color="000000"/>
              <w:left w:val="single" w:sz="5" w:space="0" w:color="000000"/>
              <w:bottom w:val="single" w:sz="5" w:space="0" w:color="000000"/>
              <w:right w:val="single" w:sz="5" w:space="0" w:color="000000"/>
            </w:tcBorders>
            <w:tcMar>
              <w:top w:w="0" w:type="dxa"/>
              <w:bottom w:w="0" w:type="dxa"/>
            </w:tcMar>
          </w:tcPr>
          <w:p w14:paraId="7A931409" w14:textId="77777777" w:rsidR="002A7B8B" w:rsidRDefault="00000000">
            <w:pPr>
              <w:spacing w:before="240" w:after="160" w:line="256" w:lineRule="auto"/>
              <w:rPr>
                <w:b/>
              </w:rPr>
            </w:pPr>
            <w:r>
              <w:rPr>
                <w:b/>
              </w:rPr>
              <w:t>Kinross</w:t>
            </w:r>
          </w:p>
        </w:tc>
        <w:tc>
          <w:tcPr>
            <w:tcW w:w="2250" w:type="dxa"/>
            <w:tcBorders>
              <w:top w:val="single" w:sz="5" w:space="0" w:color="000000"/>
              <w:left w:val="single" w:sz="5" w:space="0" w:color="000000"/>
              <w:bottom w:val="single" w:sz="5" w:space="0" w:color="000000"/>
              <w:right w:val="single" w:sz="5" w:space="0" w:color="000000"/>
            </w:tcBorders>
            <w:tcMar>
              <w:top w:w="0" w:type="dxa"/>
              <w:bottom w:w="0" w:type="dxa"/>
            </w:tcMar>
          </w:tcPr>
          <w:p w14:paraId="7774900E" w14:textId="77777777" w:rsidR="002A7B8B" w:rsidRDefault="00000000">
            <w:pPr>
              <w:spacing w:before="240" w:after="160" w:line="256" w:lineRule="auto"/>
            </w:pPr>
            <w:r>
              <w:t>8.4%</w:t>
            </w:r>
          </w:p>
        </w:tc>
        <w:tc>
          <w:tcPr>
            <w:tcW w:w="1740" w:type="dxa"/>
            <w:tcBorders>
              <w:top w:val="single" w:sz="5" w:space="0" w:color="000000"/>
              <w:left w:val="single" w:sz="5" w:space="0" w:color="000000"/>
              <w:bottom w:val="single" w:sz="5" w:space="0" w:color="000000"/>
              <w:right w:val="single" w:sz="5" w:space="0" w:color="000000"/>
            </w:tcBorders>
            <w:tcMar>
              <w:top w:w="0" w:type="dxa"/>
              <w:bottom w:w="0" w:type="dxa"/>
            </w:tcMar>
          </w:tcPr>
          <w:p w14:paraId="4DC773C7" w14:textId="77777777" w:rsidR="002A7B8B" w:rsidRDefault="00000000">
            <w:pPr>
              <w:spacing w:before="240" w:after="160" w:line="256" w:lineRule="auto"/>
            </w:pPr>
            <w:r>
              <w:t>65.0%</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77B17B85" w14:textId="77777777" w:rsidR="002A7B8B" w:rsidRDefault="00000000">
            <w:pPr>
              <w:spacing w:before="240" w:after="160" w:line="256" w:lineRule="auto"/>
            </w:pPr>
            <w:r>
              <w:t>0.31</w:t>
            </w:r>
          </w:p>
        </w:tc>
        <w:tc>
          <w:tcPr>
            <w:tcW w:w="2070" w:type="dxa"/>
            <w:tcBorders>
              <w:top w:val="single" w:sz="5" w:space="0" w:color="000000"/>
              <w:left w:val="single" w:sz="5" w:space="0" w:color="000000"/>
              <w:bottom w:val="single" w:sz="5" w:space="0" w:color="000000"/>
              <w:right w:val="single" w:sz="5" w:space="0" w:color="000000"/>
            </w:tcBorders>
            <w:tcMar>
              <w:top w:w="0" w:type="dxa"/>
              <w:bottom w:w="0" w:type="dxa"/>
            </w:tcMar>
          </w:tcPr>
          <w:p w14:paraId="6EDCA289" w14:textId="77777777" w:rsidR="002A7B8B" w:rsidRDefault="00000000">
            <w:pPr>
              <w:spacing w:before="240" w:after="160" w:line="256" w:lineRule="auto"/>
            </w:pPr>
            <w:r>
              <w:t>5.77%</w:t>
            </w:r>
          </w:p>
        </w:tc>
        <w:tc>
          <w:tcPr>
            <w:tcW w:w="2055" w:type="dxa"/>
            <w:tcBorders>
              <w:top w:val="single" w:sz="5" w:space="0" w:color="000000"/>
              <w:left w:val="single" w:sz="5" w:space="0" w:color="000000"/>
              <w:bottom w:val="single" w:sz="5" w:space="0" w:color="000000"/>
              <w:right w:val="single" w:sz="5" w:space="0" w:color="000000"/>
            </w:tcBorders>
            <w:tcMar>
              <w:top w:w="0" w:type="dxa"/>
              <w:bottom w:w="0" w:type="dxa"/>
            </w:tcMar>
          </w:tcPr>
          <w:p w14:paraId="2154607A" w14:textId="77777777" w:rsidR="002A7B8B" w:rsidRDefault="00000000">
            <w:pPr>
              <w:spacing w:before="240" w:after="160" w:line="256" w:lineRule="auto"/>
            </w:pPr>
            <w:r>
              <w:t>0.09</w:t>
            </w:r>
          </w:p>
        </w:tc>
      </w:tr>
      <w:tr w:rsidR="002A7B8B" w14:paraId="6F962F6B" w14:textId="77777777">
        <w:trPr>
          <w:trHeight w:val="885"/>
        </w:trPr>
        <w:tc>
          <w:tcPr>
            <w:tcW w:w="1425" w:type="dxa"/>
            <w:tcBorders>
              <w:top w:val="single" w:sz="5" w:space="0" w:color="000000"/>
              <w:left w:val="single" w:sz="5" w:space="0" w:color="000000"/>
              <w:bottom w:val="single" w:sz="5" w:space="0" w:color="000000"/>
              <w:right w:val="single" w:sz="5" w:space="0" w:color="000000"/>
            </w:tcBorders>
            <w:tcMar>
              <w:top w:w="0" w:type="dxa"/>
              <w:bottom w:w="0" w:type="dxa"/>
            </w:tcMar>
          </w:tcPr>
          <w:p w14:paraId="25B3E870" w14:textId="77777777" w:rsidR="002A7B8B" w:rsidRDefault="00000000">
            <w:pPr>
              <w:spacing w:before="240" w:after="240"/>
            </w:pPr>
            <w:r>
              <w:rPr>
                <w:b/>
              </w:rPr>
              <w:t>S&amp;P 500</w:t>
            </w:r>
          </w:p>
        </w:tc>
        <w:tc>
          <w:tcPr>
            <w:tcW w:w="2250" w:type="dxa"/>
            <w:tcBorders>
              <w:top w:val="single" w:sz="5" w:space="0" w:color="000000"/>
              <w:left w:val="single" w:sz="5" w:space="0" w:color="000000"/>
              <w:bottom w:val="single" w:sz="5" w:space="0" w:color="000000"/>
              <w:right w:val="single" w:sz="5" w:space="0" w:color="000000"/>
            </w:tcBorders>
            <w:tcMar>
              <w:top w:w="0" w:type="dxa"/>
              <w:bottom w:w="0" w:type="dxa"/>
            </w:tcMar>
          </w:tcPr>
          <w:p w14:paraId="01E8D34E" w14:textId="77777777" w:rsidR="002A7B8B" w:rsidRDefault="00000000">
            <w:pPr>
              <w:spacing w:before="240" w:after="160" w:line="256" w:lineRule="auto"/>
            </w:pPr>
            <w:r>
              <w:t>60.3%</w:t>
            </w:r>
          </w:p>
        </w:tc>
        <w:tc>
          <w:tcPr>
            <w:tcW w:w="1740" w:type="dxa"/>
            <w:tcBorders>
              <w:top w:val="single" w:sz="5" w:space="0" w:color="000000"/>
              <w:left w:val="single" w:sz="5" w:space="0" w:color="000000"/>
              <w:bottom w:val="single" w:sz="5" w:space="0" w:color="000000"/>
              <w:right w:val="single" w:sz="5" w:space="0" w:color="000000"/>
            </w:tcBorders>
            <w:tcMar>
              <w:top w:w="0" w:type="dxa"/>
              <w:bottom w:w="0" w:type="dxa"/>
            </w:tcMar>
          </w:tcPr>
          <w:p w14:paraId="5BFEF6CE" w14:textId="77777777" w:rsidR="002A7B8B" w:rsidRDefault="00000000">
            <w:pPr>
              <w:spacing w:before="240" w:after="160" w:line="256" w:lineRule="auto"/>
            </w:pPr>
            <w:r>
              <w:t>21.8%</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5F4F21C4" w14:textId="77777777" w:rsidR="002A7B8B" w:rsidRDefault="00000000">
            <w:pPr>
              <w:spacing w:before="240" w:after="160" w:line="256" w:lineRule="auto"/>
            </w:pPr>
            <w:r>
              <w:t>1.00</w:t>
            </w:r>
          </w:p>
        </w:tc>
        <w:tc>
          <w:tcPr>
            <w:tcW w:w="2070" w:type="dxa"/>
            <w:tcBorders>
              <w:top w:val="single" w:sz="5" w:space="0" w:color="000000"/>
              <w:left w:val="single" w:sz="5" w:space="0" w:color="000000"/>
              <w:bottom w:val="single" w:sz="5" w:space="0" w:color="000000"/>
              <w:right w:val="single" w:sz="5" w:space="0" w:color="000000"/>
            </w:tcBorders>
            <w:tcMar>
              <w:top w:w="0" w:type="dxa"/>
              <w:bottom w:w="0" w:type="dxa"/>
            </w:tcMar>
          </w:tcPr>
          <w:p w14:paraId="79CF4061" w14:textId="77777777" w:rsidR="002A7B8B" w:rsidRDefault="00000000">
            <w:pPr>
              <w:spacing w:before="240" w:after="160" w:line="256" w:lineRule="auto"/>
            </w:pPr>
            <w:r>
              <w:t>N/A</w:t>
            </w:r>
          </w:p>
        </w:tc>
        <w:tc>
          <w:tcPr>
            <w:tcW w:w="2055" w:type="dxa"/>
            <w:tcBorders>
              <w:top w:val="single" w:sz="5" w:space="0" w:color="000000"/>
              <w:left w:val="single" w:sz="5" w:space="0" w:color="000000"/>
              <w:bottom w:val="single" w:sz="5" w:space="0" w:color="000000"/>
              <w:right w:val="single" w:sz="5" w:space="0" w:color="000000"/>
            </w:tcBorders>
            <w:tcMar>
              <w:top w:w="0" w:type="dxa"/>
              <w:bottom w:w="0" w:type="dxa"/>
            </w:tcMar>
          </w:tcPr>
          <w:p w14:paraId="1EE5C3D3" w14:textId="77777777" w:rsidR="002A7B8B" w:rsidRDefault="00000000">
            <w:pPr>
              <w:spacing w:before="240" w:after="160" w:line="256" w:lineRule="auto"/>
            </w:pPr>
            <w:r>
              <w:t>0.37</w:t>
            </w:r>
          </w:p>
        </w:tc>
      </w:tr>
    </w:tbl>
    <w:p w14:paraId="6FA61DCB" w14:textId="77777777" w:rsidR="002A7B8B" w:rsidRDefault="002A7B8B">
      <w:pPr>
        <w:spacing w:before="240" w:after="240"/>
        <w:rPr>
          <w:b/>
        </w:rPr>
      </w:pPr>
    </w:p>
    <w:p w14:paraId="52D1F3C0" w14:textId="77777777" w:rsidR="002A7B8B" w:rsidRDefault="00000000">
      <w:r>
        <w:rPr>
          <w:noProof/>
        </w:rPr>
        <w:lastRenderedPageBreak/>
        <w:drawing>
          <wp:inline distT="114300" distB="114300" distL="114300" distR="114300" wp14:anchorId="7F8725C5" wp14:editId="7EC101C8">
            <wp:extent cx="5943600" cy="3505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505200"/>
                    </a:xfrm>
                    <a:prstGeom prst="rect">
                      <a:avLst/>
                    </a:prstGeom>
                    <a:ln/>
                  </pic:spPr>
                </pic:pic>
              </a:graphicData>
            </a:graphic>
          </wp:inline>
        </w:drawing>
      </w:r>
    </w:p>
    <w:p w14:paraId="5B80E218" w14:textId="77777777" w:rsidR="002A7B8B" w:rsidRDefault="002A7B8B">
      <w:pPr>
        <w:rPr>
          <w:b/>
        </w:rPr>
      </w:pPr>
    </w:p>
    <w:p w14:paraId="7A6E8849" w14:textId="77777777" w:rsidR="002A7B8B" w:rsidRDefault="002A7B8B">
      <w:pPr>
        <w:rPr>
          <w:b/>
        </w:rPr>
      </w:pPr>
    </w:p>
    <w:p w14:paraId="7D6F42FD" w14:textId="77777777" w:rsidR="002A7B8B" w:rsidRDefault="00000000">
      <w:pPr>
        <w:rPr>
          <w:b/>
        </w:rPr>
      </w:pPr>
      <w:r>
        <w:rPr>
          <w:b/>
        </w:rPr>
        <w:t>CONCLUSION</w:t>
      </w:r>
    </w:p>
    <w:p w14:paraId="3069E876" w14:textId="77777777" w:rsidR="002A7B8B" w:rsidRDefault="002A7B8B">
      <w:pPr>
        <w:rPr>
          <w:b/>
        </w:rPr>
      </w:pPr>
    </w:p>
    <w:p w14:paraId="6A07B6C7" w14:textId="77777777" w:rsidR="002A7B8B" w:rsidRDefault="00000000">
      <w:pPr>
        <w:numPr>
          <w:ilvl w:val="0"/>
          <w:numId w:val="12"/>
        </w:numPr>
      </w:pPr>
      <w:r>
        <w:t>S&amp;P 500 has the highest Sharpe Ratio (0.37), indicating the best return per unit of risk.</w:t>
      </w:r>
    </w:p>
    <w:p w14:paraId="44FBEE2C" w14:textId="77777777" w:rsidR="002A7B8B" w:rsidRDefault="00000000">
      <w:pPr>
        <w:numPr>
          <w:ilvl w:val="0"/>
          <w:numId w:val="12"/>
        </w:numPr>
      </w:pPr>
      <w:r>
        <w:t>Delphi follows with a decent Sharpe Ratio (0.27).</w:t>
      </w:r>
    </w:p>
    <w:p w14:paraId="0FECEDD2" w14:textId="77777777" w:rsidR="002A7B8B" w:rsidRDefault="00000000">
      <w:pPr>
        <w:numPr>
          <w:ilvl w:val="0"/>
          <w:numId w:val="12"/>
        </w:numPr>
      </w:pPr>
      <w:r>
        <w:t>Groupon, Kellogg, and Kinross show much lower Sharpe Ratios, suggesting they offer lower returns relative to the risk taken.</w:t>
      </w:r>
    </w:p>
    <w:p w14:paraId="0F6C50FB" w14:textId="77777777" w:rsidR="002A7B8B" w:rsidRDefault="002A7B8B">
      <w:pPr>
        <w:rPr>
          <w:b/>
        </w:rPr>
      </w:pPr>
    </w:p>
    <w:p w14:paraId="496B6FCB" w14:textId="77777777" w:rsidR="002A7B8B" w:rsidRDefault="002A7B8B">
      <w:pPr>
        <w:rPr>
          <w:b/>
        </w:rPr>
      </w:pPr>
    </w:p>
    <w:p w14:paraId="39ACAAF1" w14:textId="77777777" w:rsidR="002A7B8B" w:rsidRDefault="00000000">
      <w:pPr>
        <w:rPr>
          <w:b/>
        </w:rPr>
      </w:pPr>
      <w:r>
        <w:rPr>
          <w:b/>
        </w:rPr>
        <w:t>8. How should Nickerson think about picking stocks for the Cavalier Fund?</w:t>
      </w:r>
    </w:p>
    <w:p w14:paraId="3026C47B" w14:textId="77777777" w:rsidR="002A7B8B" w:rsidRDefault="002A7B8B">
      <w:pPr>
        <w:rPr>
          <w:b/>
        </w:rPr>
      </w:pPr>
    </w:p>
    <w:p w14:paraId="5A4C6FDC" w14:textId="77777777" w:rsidR="002A7B8B" w:rsidRDefault="00000000">
      <w:r>
        <w:t>Daniel Nickerson, as the Senior Portfolio Manager of the Cavalier Fund, should approach stock selection using a holistic, risk-adjusted strategy grounded in both quantitative metrics and fundamental analysis.</w:t>
      </w:r>
    </w:p>
    <w:p w14:paraId="416C2835" w14:textId="77777777" w:rsidR="002A7B8B" w:rsidRDefault="002A7B8B"/>
    <w:p w14:paraId="6D4F588F" w14:textId="77777777" w:rsidR="002A7B8B" w:rsidRDefault="00000000">
      <w:pPr>
        <w:numPr>
          <w:ilvl w:val="0"/>
          <w:numId w:val="14"/>
        </w:numPr>
        <w:spacing w:before="240"/>
      </w:pPr>
      <w:r>
        <w:rPr>
          <w:b/>
        </w:rPr>
        <w:t>Apply Risk-Adjusted Metrics (Sharpe Ratio and CAPM):</w:t>
      </w:r>
      <w:r>
        <w:rPr>
          <w:b/>
        </w:rPr>
        <w:br/>
      </w:r>
      <w:r>
        <w:t>Nickerson should rely on objective measures like the Sharpe Ratio and CAPM returns to assess whether a stock provides appropriate compensation for its level of risk.</w:t>
      </w:r>
    </w:p>
    <w:p w14:paraId="180567F4" w14:textId="77777777" w:rsidR="002A7B8B" w:rsidRDefault="00000000">
      <w:pPr>
        <w:numPr>
          <w:ilvl w:val="1"/>
          <w:numId w:val="14"/>
        </w:numPr>
      </w:pPr>
      <w:r>
        <w:t>Stocks with actual return above CAPM return may be undervalued (good picks).</w:t>
      </w:r>
    </w:p>
    <w:p w14:paraId="2271B4D0" w14:textId="77777777" w:rsidR="002A7B8B" w:rsidRDefault="00000000">
      <w:pPr>
        <w:numPr>
          <w:ilvl w:val="1"/>
          <w:numId w:val="14"/>
        </w:numPr>
        <w:spacing w:after="240"/>
      </w:pPr>
      <w:r>
        <w:t>A high Sharpe Ratio indicates efficient use of risk in generating returns.</w:t>
      </w:r>
    </w:p>
    <w:p w14:paraId="7F3259BD" w14:textId="77777777" w:rsidR="002A7B8B" w:rsidRDefault="00000000">
      <w:pPr>
        <w:spacing w:before="240" w:after="240"/>
        <w:ind w:left="1440"/>
      </w:pPr>
      <w:r>
        <w:br/>
      </w:r>
    </w:p>
    <w:p w14:paraId="49A9A11E" w14:textId="77777777" w:rsidR="002A7B8B" w:rsidRDefault="00000000">
      <w:pPr>
        <w:numPr>
          <w:ilvl w:val="0"/>
          <w:numId w:val="14"/>
        </w:numPr>
        <w:spacing w:before="240"/>
      </w:pPr>
      <w:r>
        <w:rPr>
          <w:b/>
        </w:rPr>
        <w:lastRenderedPageBreak/>
        <w:t>Favor Delphi for Strong Risk-Return Balance:</w:t>
      </w:r>
      <w:r>
        <w:rPr>
          <w:b/>
        </w:rPr>
        <w:br/>
      </w:r>
    </w:p>
    <w:p w14:paraId="0B96E6AD" w14:textId="77777777" w:rsidR="002A7B8B" w:rsidRDefault="00000000">
      <w:pPr>
        <w:numPr>
          <w:ilvl w:val="1"/>
          <w:numId w:val="14"/>
        </w:numPr>
      </w:pPr>
      <w:r>
        <w:rPr>
          <w:b/>
        </w:rPr>
        <w:t>Anticipated Return:</w:t>
      </w:r>
      <w:r>
        <w:t xml:space="preserve"> 9.1%</w:t>
      </w:r>
    </w:p>
    <w:p w14:paraId="371C281B" w14:textId="77777777" w:rsidR="002A7B8B" w:rsidRDefault="00000000">
      <w:pPr>
        <w:numPr>
          <w:ilvl w:val="1"/>
          <w:numId w:val="14"/>
        </w:numPr>
      </w:pPr>
      <w:r>
        <w:rPr>
          <w:b/>
        </w:rPr>
        <w:t>Standard Deviation:</w:t>
      </w:r>
      <w:r>
        <w:t xml:space="preserve"> 24.6%</w:t>
      </w:r>
    </w:p>
    <w:p w14:paraId="4E3B628F" w14:textId="77777777" w:rsidR="002A7B8B" w:rsidRDefault="00000000">
      <w:pPr>
        <w:numPr>
          <w:ilvl w:val="1"/>
          <w:numId w:val="14"/>
        </w:numPr>
        <w:spacing w:after="240"/>
      </w:pPr>
      <w:r>
        <w:rPr>
          <w:b/>
        </w:rPr>
        <w:t>Sharpe Ratio:</w:t>
      </w:r>
      <w:r>
        <w:t xml:space="preserve"> 0.27 (highest among the group)</w:t>
      </w:r>
    </w:p>
    <w:p w14:paraId="5740DE1E" w14:textId="77777777" w:rsidR="002A7B8B" w:rsidRDefault="00000000">
      <w:pPr>
        <w:spacing w:before="240" w:after="240"/>
        <w:ind w:left="720"/>
      </w:pPr>
      <w:r>
        <w:t>Delphi provides a solid balance between expected returns and volatility. It also outperforms its CAPM benchmark, signaling good relative value.</w:t>
      </w:r>
      <w:r>
        <w:br/>
      </w:r>
    </w:p>
    <w:p w14:paraId="6E95FA64" w14:textId="77777777" w:rsidR="002A7B8B" w:rsidRDefault="00000000">
      <w:pPr>
        <w:numPr>
          <w:ilvl w:val="0"/>
          <w:numId w:val="14"/>
        </w:numPr>
        <w:spacing w:before="240"/>
      </w:pPr>
      <w:r>
        <w:rPr>
          <w:b/>
        </w:rPr>
        <w:t>Include Kellogg for Portfolio Stability:</w:t>
      </w:r>
      <w:r>
        <w:rPr>
          <w:b/>
        </w:rPr>
        <w:br/>
      </w:r>
    </w:p>
    <w:p w14:paraId="0AB3B1D6" w14:textId="77777777" w:rsidR="002A7B8B" w:rsidRDefault="00000000">
      <w:pPr>
        <w:numPr>
          <w:ilvl w:val="1"/>
          <w:numId w:val="14"/>
        </w:numPr>
      </w:pPr>
      <w:r>
        <w:rPr>
          <w:b/>
        </w:rPr>
        <w:t>Anticipated Return:</w:t>
      </w:r>
      <w:r>
        <w:t xml:space="preserve"> 4.6%</w:t>
      </w:r>
    </w:p>
    <w:p w14:paraId="2ABA1A9D" w14:textId="77777777" w:rsidR="002A7B8B" w:rsidRDefault="00000000">
      <w:pPr>
        <w:numPr>
          <w:ilvl w:val="1"/>
          <w:numId w:val="14"/>
        </w:numPr>
      </w:pPr>
      <w:r>
        <w:rPr>
          <w:b/>
        </w:rPr>
        <w:t>Standard Deviation:</w:t>
      </w:r>
      <w:r>
        <w:t xml:space="preserve"> 14.6% (lowest)</w:t>
      </w:r>
    </w:p>
    <w:p w14:paraId="409BB188" w14:textId="77777777" w:rsidR="002A7B8B" w:rsidRDefault="00000000">
      <w:pPr>
        <w:numPr>
          <w:ilvl w:val="1"/>
          <w:numId w:val="14"/>
        </w:numPr>
        <w:spacing w:after="240"/>
      </w:pPr>
      <w:r>
        <w:rPr>
          <w:b/>
        </w:rPr>
        <w:t>Beta:</w:t>
      </w:r>
      <w:r>
        <w:t xml:space="preserve"> 0.54</w:t>
      </w:r>
    </w:p>
    <w:p w14:paraId="2FF68699" w14:textId="77777777" w:rsidR="002A7B8B" w:rsidRDefault="00000000">
      <w:pPr>
        <w:spacing w:before="240" w:after="240"/>
        <w:ind w:left="720"/>
      </w:pPr>
      <w:r>
        <w:t>Kellogg is a low-risk, stable stock. Though its return is modest, its consistent performance and defensive nature make it a great stabilizer in a diversified portfolio.</w:t>
      </w:r>
      <w:r>
        <w:br/>
      </w:r>
    </w:p>
    <w:p w14:paraId="1F966D68" w14:textId="77777777" w:rsidR="002A7B8B" w:rsidRDefault="00000000">
      <w:pPr>
        <w:numPr>
          <w:ilvl w:val="0"/>
          <w:numId w:val="14"/>
        </w:numPr>
        <w:spacing w:before="240"/>
      </w:pPr>
      <w:r>
        <w:rPr>
          <w:b/>
        </w:rPr>
        <w:t>Consider Kinross for Diversification Benefits:</w:t>
      </w:r>
      <w:r>
        <w:rPr>
          <w:b/>
        </w:rPr>
        <w:br/>
      </w:r>
    </w:p>
    <w:p w14:paraId="68EFEFBE" w14:textId="77777777" w:rsidR="002A7B8B" w:rsidRDefault="00000000">
      <w:pPr>
        <w:numPr>
          <w:ilvl w:val="1"/>
          <w:numId w:val="14"/>
        </w:numPr>
      </w:pPr>
      <w:r>
        <w:t>Alone, Kinross has high volatility (65%) and a low Sharpe Ratio (0.09).</w:t>
      </w:r>
    </w:p>
    <w:p w14:paraId="57CD385E" w14:textId="77777777" w:rsidR="002A7B8B" w:rsidRDefault="00000000">
      <w:pPr>
        <w:numPr>
          <w:ilvl w:val="1"/>
          <w:numId w:val="14"/>
        </w:numPr>
        <w:spacing w:after="240"/>
      </w:pPr>
      <w:r>
        <w:t>However, its low correlation with market and tech stocks makes it ideal for reducing total portfolio volatility.</w:t>
      </w:r>
    </w:p>
    <w:p w14:paraId="76F86103" w14:textId="77777777" w:rsidR="002A7B8B" w:rsidRDefault="00000000">
      <w:pPr>
        <w:spacing w:before="240" w:after="240"/>
        <w:ind w:left="720"/>
      </w:pPr>
      <w:r>
        <w:t>A 50-50 portfolio of Kinross and Groupon lowers standard deviation more than either stock individually.</w:t>
      </w:r>
      <w:r>
        <w:br/>
      </w:r>
    </w:p>
    <w:p w14:paraId="31AE9B63" w14:textId="77777777" w:rsidR="002A7B8B" w:rsidRDefault="00000000">
      <w:pPr>
        <w:numPr>
          <w:ilvl w:val="0"/>
          <w:numId w:val="14"/>
        </w:numPr>
        <w:spacing w:before="240"/>
      </w:pPr>
      <w:r>
        <w:rPr>
          <w:b/>
        </w:rPr>
        <w:t>Be Cautious with Groupon Unless Paired:</w:t>
      </w:r>
      <w:r>
        <w:rPr>
          <w:b/>
        </w:rPr>
        <w:br/>
      </w:r>
    </w:p>
    <w:p w14:paraId="128C0301" w14:textId="77777777" w:rsidR="002A7B8B" w:rsidRDefault="00000000">
      <w:pPr>
        <w:numPr>
          <w:ilvl w:val="1"/>
          <w:numId w:val="14"/>
        </w:numPr>
      </w:pPr>
      <w:r>
        <w:t>Groupon has highest beta (1.44) and extreme volatility (67%).</w:t>
      </w:r>
    </w:p>
    <w:p w14:paraId="205BEF45" w14:textId="77777777" w:rsidR="002A7B8B" w:rsidRDefault="00000000">
      <w:pPr>
        <w:numPr>
          <w:ilvl w:val="1"/>
          <w:numId w:val="14"/>
        </w:numPr>
        <w:spacing w:after="240"/>
      </w:pPr>
      <w:r>
        <w:t>Despite a decent return (9.3%), it’s highly risky.</w:t>
      </w:r>
    </w:p>
    <w:p w14:paraId="01F6DC7F" w14:textId="77777777" w:rsidR="002A7B8B" w:rsidRDefault="00000000">
      <w:pPr>
        <w:spacing w:before="240" w:after="240"/>
        <w:ind w:firstLine="720"/>
      </w:pPr>
      <w:r>
        <w:t>Only consider it if paired with low-correlation assets like Kinross.</w:t>
      </w:r>
      <w:r>
        <w:br/>
      </w:r>
    </w:p>
    <w:p w14:paraId="7675B0FA" w14:textId="77777777" w:rsidR="002A7B8B" w:rsidRDefault="00000000">
      <w:pPr>
        <w:pStyle w:val="Heading3"/>
        <w:keepNext w:val="0"/>
        <w:keepLines w:val="0"/>
        <w:spacing w:before="280"/>
        <w:rPr>
          <w:b/>
          <w:color w:val="000000"/>
          <w:sz w:val="26"/>
          <w:szCs w:val="26"/>
        </w:rPr>
      </w:pPr>
      <w:bookmarkStart w:id="0" w:name="_loexlmskuvxo" w:colFirst="0" w:colLast="0"/>
      <w:bookmarkEnd w:id="0"/>
      <w:r>
        <w:rPr>
          <w:b/>
          <w:color w:val="000000"/>
          <w:sz w:val="26"/>
          <w:szCs w:val="26"/>
        </w:rPr>
        <w:t>CONCLUSION</w:t>
      </w:r>
    </w:p>
    <w:p w14:paraId="1C13538C" w14:textId="77777777" w:rsidR="002A7B8B" w:rsidRDefault="00000000">
      <w:pPr>
        <w:spacing w:before="240" w:after="240"/>
      </w:pPr>
      <w:r>
        <w:t>Nickerson should build a diversified portfolio by mixing efficient performers (Delphi), defensive assets (Kellogg), and diversifiers (Kinross), while being cautious with speculative picks like Groupon unless risk is offset.</w:t>
      </w:r>
    </w:p>
    <w:p w14:paraId="2C78DB7B" w14:textId="77777777" w:rsidR="002A7B8B" w:rsidRDefault="002A7B8B">
      <w:pPr>
        <w:spacing w:before="240" w:after="240"/>
      </w:pPr>
    </w:p>
    <w:p w14:paraId="3388CB4F" w14:textId="77777777" w:rsidR="002A7B8B" w:rsidRDefault="00000000">
      <w:pPr>
        <w:spacing w:before="240" w:after="240"/>
        <w:rPr>
          <w:b/>
          <w:sz w:val="38"/>
          <w:szCs w:val="38"/>
        </w:rPr>
      </w:pPr>
      <w:r>
        <w:rPr>
          <w:b/>
          <w:sz w:val="38"/>
          <w:szCs w:val="38"/>
        </w:rPr>
        <w:lastRenderedPageBreak/>
        <w:t>OPTIMAL PORTFOLIO CONSTRUCTION ANALYSIS</w:t>
      </w:r>
    </w:p>
    <w:p w14:paraId="21EC766F" w14:textId="77777777" w:rsidR="002A7B8B" w:rsidRDefault="00000000">
      <w:pPr>
        <w:spacing w:before="240" w:after="240"/>
        <w:rPr>
          <w:b/>
          <w:sz w:val="26"/>
          <w:szCs w:val="26"/>
        </w:rPr>
      </w:pPr>
      <w:r>
        <w:rPr>
          <w:b/>
          <w:sz w:val="26"/>
          <w:szCs w:val="26"/>
        </w:rPr>
        <w:t>OBJECTIVE</w:t>
      </w:r>
    </w:p>
    <w:p w14:paraId="078846E9" w14:textId="77777777" w:rsidR="002A7B8B" w:rsidRDefault="00000000">
      <w:pPr>
        <w:spacing w:before="240" w:after="240"/>
      </w:pPr>
      <w:r>
        <w:t>To construct an optimal portfolio of four stocks—Delphi, Groupon, Kellogg, and Kinross Gold—by identifying the portfolio with the maximum Sharpe Ratio, achieving the best balance between return and risk (volatility).</w:t>
      </w:r>
    </w:p>
    <w:p w14:paraId="1215102B" w14:textId="77777777" w:rsidR="002A7B8B" w:rsidRDefault="00000000">
      <w:pPr>
        <w:pStyle w:val="Heading1"/>
        <w:keepNext w:val="0"/>
        <w:keepLines w:val="0"/>
        <w:spacing w:before="480"/>
      </w:pPr>
      <w:bookmarkStart w:id="1" w:name="_ww2z2giwvc85" w:colFirst="0" w:colLast="0"/>
      <w:bookmarkEnd w:id="1"/>
      <w:r>
        <w:rPr>
          <w:b/>
          <w:sz w:val="26"/>
          <w:szCs w:val="26"/>
        </w:rPr>
        <w:t>APPROACH</w:t>
      </w:r>
    </w:p>
    <w:p w14:paraId="4D1A0BF3" w14:textId="77777777" w:rsidR="002A7B8B" w:rsidRDefault="00000000">
      <w:pPr>
        <w:spacing w:before="240" w:after="240"/>
        <w:rPr>
          <w:b/>
        </w:rPr>
      </w:pPr>
      <w:r>
        <w:rPr>
          <w:b/>
        </w:rPr>
        <w:t>GIVEN DATA</w:t>
      </w:r>
    </w:p>
    <w:tbl>
      <w:tblPr>
        <w:tblStyle w:val="a2"/>
        <w:tblW w:w="98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70"/>
        <w:gridCol w:w="3000"/>
        <w:gridCol w:w="3480"/>
        <w:gridCol w:w="1875"/>
      </w:tblGrid>
      <w:tr w:rsidR="002A7B8B" w14:paraId="5CC2C365" w14:textId="77777777">
        <w:trPr>
          <w:trHeight w:val="450"/>
        </w:trPr>
        <w:tc>
          <w:tcPr>
            <w:tcW w:w="147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B494A4E" w14:textId="77777777" w:rsidR="002A7B8B" w:rsidRDefault="00000000">
            <w:pPr>
              <w:spacing w:before="240" w:after="160" w:line="256" w:lineRule="auto"/>
              <w:rPr>
                <w:b/>
              </w:rPr>
            </w:pPr>
            <w:r>
              <w:rPr>
                <w:b/>
              </w:rPr>
              <w:t>Stock</w:t>
            </w:r>
          </w:p>
        </w:tc>
        <w:tc>
          <w:tcPr>
            <w:tcW w:w="300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5B49B28" w14:textId="77777777" w:rsidR="002A7B8B" w:rsidRDefault="00000000">
            <w:pPr>
              <w:spacing w:before="240" w:after="160" w:line="256" w:lineRule="auto"/>
              <w:rPr>
                <w:b/>
              </w:rPr>
            </w:pPr>
            <w:r>
              <w:rPr>
                <w:b/>
              </w:rPr>
              <w:t>Anticipated Return</w:t>
            </w:r>
          </w:p>
        </w:tc>
        <w:tc>
          <w:tcPr>
            <w:tcW w:w="348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CB11B15" w14:textId="77777777" w:rsidR="002A7B8B" w:rsidRDefault="00000000">
            <w:pPr>
              <w:spacing w:before="240" w:after="160" w:line="256" w:lineRule="auto"/>
              <w:rPr>
                <w:b/>
              </w:rPr>
            </w:pPr>
            <w:r>
              <w:rPr>
                <w:b/>
              </w:rPr>
              <w:t>Standard Deviation (σ)</w:t>
            </w:r>
          </w:p>
        </w:tc>
        <w:tc>
          <w:tcPr>
            <w:tcW w:w="187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168CE64" w14:textId="77777777" w:rsidR="002A7B8B" w:rsidRDefault="00000000">
            <w:pPr>
              <w:spacing w:before="240" w:after="160" w:line="256" w:lineRule="auto"/>
              <w:rPr>
                <w:b/>
              </w:rPr>
            </w:pPr>
            <w:r>
              <w:rPr>
                <w:b/>
              </w:rPr>
              <w:t>Beta (β)</w:t>
            </w:r>
          </w:p>
        </w:tc>
      </w:tr>
      <w:tr w:rsidR="002A7B8B" w14:paraId="56B4C92E" w14:textId="77777777">
        <w:trPr>
          <w:trHeight w:val="465"/>
        </w:trPr>
        <w:tc>
          <w:tcPr>
            <w:tcW w:w="1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6CED747" w14:textId="77777777" w:rsidR="002A7B8B" w:rsidRDefault="00000000">
            <w:pPr>
              <w:spacing w:before="240" w:after="160" w:line="256" w:lineRule="auto"/>
            </w:pPr>
            <w:r>
              <w:t>Delphi</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3825939D" w14:textId="77777777" w:rsidR="002A7B8B" w:rsidRDefault="00000000">
            <w:pPr>
              <w:spacing w:before="240" w:after="160" w:line="256" w:lineRule="auto"/>
            </w:pPr>
            <w:r>
              <w:t>9.1%</w:t>
            </w:r>
          </w:p>
        </w:tc>
        <w:tc>
          <w:tcPr>
            <w:tcW w:w="3480" w:type="dxa"/>
            <w:tcBorders>
              <w:top w:val="nil"/>
              <w:left w:val="nil"/>
              <w:bottom w:val="single" w:sz="5" w:space="0" w:color="000000"/>
              <w:right w:val="single" w:sz="5" w:space="0" w:color="000000"/>
            </w:tcBorders>
            <w:tcMar>
              <w:top w:w="0" w:type="dxa"/>
              <w:left w:w="100" w:type="dxa"/>
              <w:bottom w:w="0" w:type="dxa"/>
              <w:right w:w="100" w:type="dxa"/>
            </w:tcMar>
          </w:tcPr>
          <w:p w14:paraId="149CB931" w14:textId="77777777" w:rsidR="002A7B8B" w:rsidRDefault="00000000">
            <w:pPr>
              <w:spacing w:before="240" w:after="160" w:line="256" w:lineRule="auto"/>
            </w:pPr>
            <w:r>
              <w:t>24.6%</w:t>
            </w:r>
          </w:p>
        </w:tc>
        <w:tc>
          <w:tcPr>
            <w:tcW w:w="1875" w:type="dxa"/>
            <w:tcBorders>
              <w:top w:val="nil"/>
              <w:left w:val="nil"/>
              <w:bottom w:val="single" w:sz="5" w:space="0" w:color="000000"/>
              <w:right w:val="single" w:sz="5" w:space="0" w:color="000000"/>
            </w:tcBorders>
            <w:tcMar>
              <w:top w:w="0" w:type="dxa"/>
              <w:left w:w="100" w:type="dxa"/>
              <w:bottom w:w="0" w:type="dxa"/>
              <w:right w:w="100" w:type="dxa"/>
            </w:tcMar>
          </w:tcPr>
          <w:p w14:paraId="5B794765" w14:textId="77777777" w:rsidR="002A7B8B" w:rsidRDefault="00000000">
            <w:pPr>
              <w:spacing w:before="240" w:after="160" w:line="256" w:lineRule="auto"/>
            </w:pPr>
            <w:r>
              <w:t>1.29</w:t>
            </w:r>
          </w:p>
        </w:tc>
      </w:tr>
      <w:tr w:rsidR="002A7B8B" w14:paraId="32C0B7BF" w14:textId="77777777">
        <w:trPr>
          <w:trHeight w:val="450"/>
        </w:trPr>
        <w:tc>
          <w:tcPr>
            <w:tcW w:w="1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096BB3B" w14:textId="77777777" w:rsidR="002A7B8B" w:rsidRDefault="00000000">
            <w:pPr>
              <w:spacing w:before="240" w:after="160" w:line="256" w:lineRule="auto"/>
            </w:pPr>
            <w:r>
              <w:t>Groupon</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6199B83F" w14:textId="77777777" w:rsidR="002A7B8B" w:rsidRDefault="00000000">
            <w:pPr>
              <w:spacing w:before="240" w:after="160" w:line="256" w:lineRule="auto"/>
            </w:pPr>
            <w:r>
              <w:t>9.3%</w:t>
            </w:r>
          </w:p>
        </w:tc>
        <w:tc>
          <w:tcPr>
            <w:tcW w:w="3480" w:type="dxa"/>
            <w:tcBorders>
              <w:top w:val="nil"/>
              <w:left w:val="nil"/>
              <w:bottom w:val="single" w:sz="5" w:space="0" w:color="000000"/>
              <w:right w:val="single" w:sz="5" w:space="0" w:color="000000"/>
            </w:tcBorders>
            <w:tcMar>
              <w:top w:w="0" w:type="dxa"/>
              <w:left w:w="100" w:type="dxa"/>
              <w:bottom w:w="0" w:type="dxa"/>
              <w:right w:w="100" w:type="dxa"/>
            </w:tcMar>
          </w:tcPr>
          <w:p w14:paraId="613E45CA" w14:textId="77777777" w:rsidR="002A7B8B" w:rsidRDefault="00000000">
            <w:pPr>
              <w:spacing w:before="240" w:after="160" w:line="256" w:lineRule="auto"/>
            </w:pPr>
            <w:r>
              <w:t>67.1%</w:t>
            </w:r>
          </w:p>
        </w:tc>
        <w:tc>
          <w:tcPr>
            <w:tcW w:w="1875" w:type="dxa"/>
            <w:tcBorders>
              <w:top w:val="nil"/>
              <w:left w:val="nil"/>
              <w:bottom w:val="single" w:sz="5" w:space="0" w:color="000000"/>
              <w:right w:val="single" w:sz="5" w:space="0" w:color="000000"/>
            </w:tcBorders>
            <w:tcMar>
              <w:top w:w="0" w:type="dxa"/>
              <w:left w:w="100" w:type="dxa"/>
              <w:bottom w:w="0" w:type="dxa"/>
              <w:right w:w="100" w:type="dxa"/>
            </w:tcMar>
          </w:tcPr>
          <w:p w14:paraId="2D084EB8" w14:textId="77777777" w:rsidR="002A7B8B" w:rsidRDefault="00000000">
            <w:pPr>
              <w:spacing w:before="240" w:after="160" w:line="256" w:lineRule="auto"/>
            </w:pPr>
            <w:r>
              <w:t>1.44</w:t>
            </w:r>
          </w:p>
        </w:tc>
      </w:tr>
      <w:tr w:rsidR="002A7B8B" w14:paraId="60688CAD" w14:textId="77777777">
        <w:trPr>
          <w:trHeight w:val="450"/>
        </w:trPr>
        <w:tc>
          <w:tcPr>
            <w:tcW w:w="1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655D821" w14:textId="77777777" w:rsidR="002A7B8B" w:rsidRDefault="00000000">
            <w:pPr>
              <w:spacing w:before="240" w:after="160" w:line="256" w:lineRule="auto"/>
            </w:pPr>
            <w:r>
              <w:t>Kellogg</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4651373D" w14:textId="77777777" w:rsidR="002A7B8B" w:rsidRDefault="00000000">
            <w:pPr>
              <w:spacing w:before="240" w:after="160" w:line="256" w:lineRule="auto"/>
            </w:pPr>
            <w:r>
              <w:t>4.6%</w:t>
            </w:r>
          </w:p>
        </w:tc>
        <w:tc>
          <w:tcPr>
            <w:tcW w:w="3480" w:type="dxa"/>
            <w:tcBorders>
              <w:top w:val="nil"/>
              <w:left w:val="nil"/>
              <w:bottom w:val="single" w:sz="5" w:space="0" w:color="000000"/>
              <w:right w:val="single" w:sz="5" w:space="0" w:color="000000"/>
            </w:tcBorders>
            <w:tcMar>
              <w:top w:w="0" w:type="dxa"/>
              <w:left w:w="100" w:type="dxa"/>
              <w:bottom w:w="0" w:type="dxa"/>
              <w:right w:w="100" w:type="dxa"/>
            </w:tcMar>
          </w:tcPr>
          <w:p w14:paraId="34C1036A" w14:textId="77777777" w:rsidR="002A7B8B" w:rsidRDefault="00000000">
            <w:pPr>
              <w:spacing w:before="240" w:after="160" w:line="256" w:lineRule="auto"/>
            </w:pPr>
            <w:r>
              <w:t>14.6%</w:t>
            </w:r>
          </w:p>
        </w:tc>
        <w:tc>
          <w:tcPr>
            <w:tcW w:w="1875" w:type="dxa"/>
            <w:tcBorders>
              <w:top w:val="nil"/>
              <w:left w:val="nil"/>
              <w:bottom w:val="single" w:sz="5" w:space="0" w:color="000000"/>
              <w:right w:val="single" w:sz="5" w:space="0" w:color="000000"/>
            </w:tcBorders>
            <w:tcMar>
              <w:top w:w="0" w:type="dxa"/>
              <w:left w:w="100" w:type="dxa"/>
              <w:bottom w:w="0" w:type="dxa"/>
              <w:right w:w="100" w:type="dxa"/>
            </w:tcMar>
          </w:tcPr>
          <w:p w14:paraId="6BACD4B1" w14:textId="77777777" w:rsidR="002A7B8B" w:rsidRDefault="00000000">
            <w:pPr>
              <w:spacing w:before="240" w:after="160" w:line="256" w:lineRule="auto"/>
            </w:pPr>
            <w:r>
              <w:t>0.54</w:t>
            </w:r>
          </w:p>
        </w:tc>
      </w:tr>
      <w:tr w:rsidR="002A7B8B" w14:paraId="7C1E7EB7" w14:textId="77777777">
        <w:trPr>
          <w:trHeight w:val="445"/>
        </w:trPr>
        <w:tc>
          <w:tcPr>
            <w:tcW w:w="147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5E9A4C9" w14:textId="77777777" w:rsidR="002A7B8B" w:rsidRDefault="00000000">
            <w:pPr>
              <w:spacing w:before="240" w:after="160" w:line="256" w:lineRule="auto"/>
            </w:pPr>
            <w:r>
              <w:t>Kinross</w:t>
            </w:r>
          </w:p>
        </w:tc>
        <w:tc>
          <w:tcPr>
            <w:tcW w:w="3000" w:type="dxa"/>
            <w:tcBorders>
              <w:top w:val="nil"/>
              <w:left w:val="nil"/>
              <w:bottom w:val="single" w:sz="5" w:space="0" w:color="000000"/>
              <w:right w:val="single" w:sz="5" w:space="0" w:color="000000"/>
            </w:tcBorders>
            <w:tcMar>
              <w:top w:w="0" w:type="dxa"/>
              <w:left w:w="100" w:type="dxa"/>
              <w:bottom w:w="0" w:type="dxa"/>
              <w:right w:w="100" w:type="dxa"/>
            </w:tcMar>
          </w:tcPr>
          <w:p w14:paraId="0F6387FE" w14:textId="77777777" w:rsidR="002A7B8B" w:rsidRDefault="00000000">
            <w:pPr>
              <w:spacing w:before="240" w:after="160" w:line="256" w:lineRule="auto"/>
            </w:pPr>
            <w:r>
              <w:t>8.4%</w:t>
            </w:r>
          </w:p>
        </w:tc>
        <w:tc>
          <w:tcPr>
            <w:tcW w:w="3480" w:type="dxa"/>
            <w:tcBorders>
              <w:top w:val="nil"/>
              <w:left w:val="nil"/>
              <w:bottom w:val="single" w:sz="5" w:space="0" w:color="000000"/>
              <w:right w:val="single" w:sz="5" w:space="0" w:color="000000"/>
            </w:tcBorders>
            <w:tcMar>
              <w:top w:w="0" w:type="dxa"/>
              <w:left w:w="100" w:type="dxa"/>
              <w:bottom w:w="0" w:type="dxa"/>
              <w:right w:w="100" w:type="dxa"/>
            </w:tcMar>
          </w:tcPr>
          <w:p w14:paraId="7864CDFF" w14:textId="77777777" w:rsidR="002A7B8B" w:rsidRDefault="00000000">
            <w:pPr>
              <w:spacing w:before="240" w:after="160" w:line="256" w:lineRule="auto"/>
            </w:pPr>
            <w:r>
              <w:t>65.0%</w:t>
            </w:r>
          </w:p>
        </w:tc>
        <w:tc>
          <w:tcPr>
            <w:tcW w:w="1875" w:type="dxa"/>
            <w:tcBorders>
              <w:top w:val="nil"/>
              <w:left w:val="nil"/>
              <w:bottom w:val="single" w:sz="5" w:space="0" w:color="000000"/>
              <w:right w:val="single" w:sz="5" w:space="0" w:color="000000"/>
            </w:tcBorders>
            <w:tcMar>
              <w:top w:w="0" w:type="dxa"/>
              <w:left w:w="100" w:type="dxa"/>
              <w:bottom w:w="0" w:type="dxa"/>
              <w:right w:w="100" w:type="dxa"/>
            </w:tcMar>
          </w:tcPr>
          <w:p w14:paraId="4E3FAEB7" w14:textId="77777777" w:rsidR="002A7B8B" w:rsidRDefault="00000000">
            <w:pPr>
              <w:spacing w:before="240" w:after="160" w:line="256" w:lineRule="auto"/>
            </w:pPr>
            <w:r>
              <w:t>0.31</w:t>
            </w:r>
          </w:p>
        </w:tc>
      </w:tr>
    </w:tbl>
    <w:p w14:paraId="38F02353" w14:textId="77777777" w:rsidR="002A7B8B" w:rsidRDefault="002A7B8B">
      <w:pPr>
        <w:spacing w:before="240" w:after="240"/>
        <w:rPr>
          <w:b/>
        </w:rPr>
      </w:pPr>
    </w:p>
    <w:p w14:paraId="6F87EFE8" w14:textId="77777777" w:rsidR="002A7B8B" w:rsidRDefault="00000000">
      <w:pPr>
        <w:spacing w:before="240" w:after="240"/>
      </w:pPr>
      <w:r>
        <w:rPr>
          <w:b/>
        </w:rPr>
        <w:t>CORRELATION MATRIX ( DEFINED MANUALLY )</w:t>
      </w:r>
    </w:p>
    <w:tbl>
      <w:tblPr>
        <w:tblStyle w:val="a3"/>
        <w:tblpPr w:leftFromText="180" w:rightFromText="180" w:topFromText="180" w:bottomFromText="180" w:vertAnchor="text" w:tblpX="-15"/>
        <w:tblW w:w="98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30"/>
        <w:gridCol w:w="2145"/>
        <w:gridCol w:w="2130"/>
        <w:gridCol w:w="2130"/>
        <w:gridCol w:w="2175"/>
      </w:tblGrid>
      <w:tr w:rsidR="002A7B8B" w14:paraId="6BA60C92" w14:textId="77777777">
        <w:trPr>
          <w:trHeight w:val="500"/>
        </w:trPr>
        <w:tc>
          <w:tcPr>
            <w:tcW w:w="1230" w:type="dxa"/>
            <w:tcBorders>
              <w:top w:val="single" w:sz="6" w:space="0" w:color="000000"/>
              <w:left w:val="single" w:sz="6" w:space="0" w:color="000000"/>
              <w:bottom w:val="single" w:sz="6" w:space="0" w:color="000000"/>
              <w:right w:val="single" w:sz="6" w:space="0" w:color="000000"/>
            </w:tcBorders>
          </w:tcPr>
          <w:p w14:paraId="4D0B7F6E" w14:textId="77777777" w:rsidR="002A7B8B" w:rsidRDefault="002A7B8B">
            <w:pPr>
              <w:jc w:val="center"/>
            </w:pPr>
          </w:p>
        </w:tc>
        <w:tc>
          <w:tcPr>
            <w:tcW w:w="2145" w:type="dxa"/>
            <w:tcBorders>
              <w:top w:val="single" w:sz="6" w:space="0" w:color="000000"/>
              <w:left w:val="single" w:sz="6" w:space="0" w:color="000000"/>
              <w:bottom w:val="single" w:sz="6" w:space="0" w:color="000000"/>
              <w:right w:val="single" w:sz="6" w:space="0" w:color="000000"/>
            </w:tcBorders>
          </w:tcPr>
          <w:p w14:paraId="4D248B62" w14:textId="77777777" w:rsidR="002A7B8B" w:rsidRDefault="00000000">
            <w:pPr>
              <w:jc w:val="center"/>
            </w:pPr>
            <w:r>
              <w:rPr>
                <w:b/>
              </w:rPr>
              <w:t>Delphi</w:t>
            </w:r>
          </w:p>
        </w:tc>
        <w:tc>
          <w:tcPr>
            <w:tcW w:w="2130" w:type="dxa"/>
            <w:tcBorders>
              <w:top w:val="single" w:sz="6" w:space="0" w:color="000000"/>
              <w:left w:val="single" w:sz="6" w:space="0" w:color="000000"/>
              <w:bottom w:val="single" w:sz="6" w:space="0" w:color="000000"/>
              <w:right w:val="single" w:sz="6" w:space="0" w:color="000000"/>
            </w:tcBorders>
          </w:tcPr>
          <w:p w14:paraId="0E040213" w14:textId="77777777" w:rsidR="002A7B8B" w:rsidRDefault="00000000">
            <w:pPr>
              <w:jc w:val="center"/>
            </w:pPr>
            <w:r>
              <w:rPr>
                <w:b/>
              </w:rPr>
              <w:t>Groupon</w:t>
            </w:r>
          </w:p>
        </w:tc>
        <w:tc>
          <w:tcPr>
            <w:tcW w:w="2130" w:type="dxa"/>
            <w:tcBorders>
              <w:top w:val="single" w:sz="6" w:space="0" w:color="000000"/>
              <w:left w:val="single" w:sz="6" w:space="0" w:color="000000"/>
              <w:bottom w:val="single" w:sz="6" w:space="0" w:color="000000"/>
              <w:right w:val="single" w:sz="6" w:space="0" w:color="000000"/>
            </w:tcBorders>
          </w:tcPr>
          <w:p w14:paraId="4AD053B7" w14:textId="77777777" w:rsidR="002A7B8B" w:rsidRDefault="00000000">
            <w:pPr>
              <w:jc w:val="center"/>
            </w:pPr>
            <w:r>
              <w:rPr>
                <w:b/>
              </w:rPr>
              <w:t>Kellogg</w:t>
            </w:r>
          </w:p>
        </w:tc>
        <w:tc>
          <w:tcPr>
            <w:tcW w:w="2175" w:type="dxa"/>
            <w:tcBorders>
              <w:top w:val="single" w:sz="6" w:space="0" w:color="000000"/>
              <w:left w:val="single" w:sz="6" w:space="0" w:color="000000"/>
              <w:bottom w:val="single" w:sz="6" w:space="0" w:color="000000"/>
              <w:right w:val="single" w:sz="6" w:space="0" w:color="000000"/>
            </w:tcBorders>
          </w:tcPr>
          <w:p w14:paraId="352871E4" w14:textId="77777777" w:rsidR="002A7B8B" w:rsidRDefault="00000000">
            <w:pPr>
              <w:jc w:val="center"/>
            </w:pPr>
            <w:r>
              <w:rPr>
                <w:b/>
              </w:rPr>
              <w:t>Kinross</w:t>
            </w:r>
          </w:p>
        </w:tc>
      </w:tr>
      <w:tr w:rsidR="002A7B8B" w14:paraId="6AFB562E" w14:textId="77777777">
        <w:trPr>
          <w:trHeight w:val="500"/>
        </w:trPr>
        <w:tc>
          <w:tcPr>
            <w:tcW w:w="1230" w:type="dxa"/>
            <w:tcBorders>
              <w:top w:val="single" w:sz="6" w:space="0" w:color="000000"/>
              <w:left w:val="single" w:sz="6" w:space="0" w:color="000000"/>
              <w:bottom w:val="single" w:sz="6" w:space="0" w:color="000000"/>
              <w:right w:val="single" w:sz="6" w:space="0" w:color="000000"/>
            </w:tcBorders>
          </w:tcPr>
          <w:p w14:paraId="5C3D2796" w14:textId="77777777" w:rsidR="002A7B8B" w:rsidRDefault="00000000">
            <w:r>
              <w:rPr>
                <w:b/>
              </w:rPr>
              <w:t>Delphi</w:t>
            </w:r>
          </w:p>
        </w:tc>
        <w:tc>
          <w:tcPr>
            <w:tcW w:w="2145" w:type="dxa"/>
            <w:tcBorders>
              <w:top w:val="single" w:sz="6" w:space="0" w:color="000000"/>
              <w:left w:val="single" w:sz="6" w:space="0" w:color="000000"/>
              <w:bottom w:val="single" w:sz="6" w:space="0" w:color="000000"/>
              <w:right w:val="single" w:sz="6" w:space="0" w:color="000000"/>
            </w:tcBorders>
          </w:tcPr>
          <w:p w14:paraId="31248AB9" w14:textId="77777777" w:rsidR="002A7B8B" w:rsidRDefault="00000000">
            <w:r>
              <w:t>1.00</w:t>
            </w:r>
          </w:p>
        </w:tc>
        <w:tc>
          <w:tcPr>
            <w:tcW w:w="2130" w:type="dxa"/>
            <w:tcBorders>
              <w:top w:val="single" w:sz="6" w:space="0" w:color="000000"/>
              <w:left w:val="single" w:sz="6" w:space="0" w:color="000000"/>
              <w:bottom w:val="single" w:sz="6" w:space="0" w:color="000000"/>
              <w:right w:val="single" w:sz="6" w:space="0" w:color="000000"/>
            </w:tcBorders>
          </w:tcPr>
          <w:p w14:paraId="61EA9DE4" w14:textId="77777777" w:rsidR="002A7B8B" w:rsidRDefault="00000000">
            <w:r>
              <w:t>0.20</w:t>
            </w:r>
          </w:p>
        </w:tc>
        <w:tc>
          <w:tcPr>
            <w:tcW w:w="2130" w:type="dxa"/>
            <w:tcBorders>
              <w:top w:val="single" w:sz="6" w:space="0" w:color="000000"/>
              <w:left w:val="single" w:sz="6" w:space="0" w:color="000000"/>
              <w:bottom w:val="single" w:sz="6" w:space="0" w:color="000000"/>
              <w:right w:val="single" w:sz="6" w:space="0" w:color="000000"/>
            </w:tcBorders>
          </w:tcPr>
          <w:p w14:paraId="00B826FF" w14:textId="77777777" w:rsidR="002A7B8B" w:rsidRDefault="00000000">
            <w:r>
              <w:t>0.10</w:t>
            </w:r>
          </w:p>
        </w:tc>
        <w:tc>
          <w:tcPr>
            <w:tcW w:w="2175" w:type="dxa"/>
            <w:tcBorders>
              <w:top w:val="single" w:sz="6" w:space="0" w:color="000000"/>
              <w:left w:val="single" w:sz="6" w:space="0" w:color="000000"/>
              <w:bottom w:val="single" w:sz="6" w:space="0" w:color="000000"/>
              <w:right w:val="single" w:sz="6" w:space="0" w:color="000000"/>
            </w:tcBorders>
          </w:tcPr>
          <w:p w14:paraId="33BCBF15" w14:textId="77777777" w:rsidR="002A7B8B" w:rsidRDefault="00000000">
            <w:r>
              <w:t>0.05</w:t>
            </w:r>
          </w:p>
        </w:tc>
      </w:tr>
      <w:tr w:rsidR="002A7B8B" w14:paraId="3A0F9675" w14:textId="77777777">
        <w:trPr>
          <w:trHeight w:val="500"/>
        </w:trPr>
        <w:tc>
          <w:tcPr>
            <w:tcW w:w="1230" w:type="dxa"/>
            <w:tcBorders>
              <w:top w:val="single" w:sz="6" w:space="0" w:color="000000"/>
              <w:left w:val="single" w:sz="6" w:space="0" w:color="000000"/>
              <w:bottom w:val="single" w:sz="6" w:space="0" w:color="000000"/>
              <w:right w:val="single" w:sz="6" w:space="0" w:color="000000"/>
            </w:tcBorders>
          </w:tcPr>
          <w:p w14:paraId="472607FA" w14:textId="77777777" w:rsidR="002A7B8B" w:rsidRDefault="00000000">
            <w:r>
              <w:rPr>
                <w:b/>
              </w:rPr>
              <w:t>Groupon</w:t>
            </w:r>
          </w:p>
        </w:tc>
        <w:tc>
          <w:tcPr>
            <w:tcW w:w="2145" w:type="dxa"/>
            <w:tcBorders>
              <w:top w:val="single" w:sz="6" w:space="0" w:color="000000"/>
              <w:left w:val="single" w:sz="6" w:space="0" w:color="000000"/>
              <w:bottom w:val="single" w:sz="6" w:space="0" w:color="000000"/>
              <w:right w:val="single" w:sz="6" w:space="0" w:color="000000"/>
            </w:tcBorders>
          </w:tcPr>
          <w:p w14:paraId="190CDB36" w14:textId="77777777" w:rsidR="002A7B8B" w:rsidRDefault="00000000">
            <w:r>
              <w:t>0.20</w:t>
            </w:r>
          </w:p>
        </w:tc>
        <w:tc>
          <w:tcPr>
            <w:tcW w:w="2130" w:type="dxa"/>
            <w:tcBorders>
              <w:top w:val="single" w:sz="6" w:space="0" w:color="000000"/>
              <w:left w:val="single" w:sz="6" w:space="0" w:color="000000"/>
              <w:bottom w:val="single" w:sz="6" w:space="0" w:color="000000"/>
              <w:right w:val="single" w:sz="6" w:space="0" w:color="000000"/>
            </w:tcBorders>
          </w:tcPr>
          <w:p w14:paraId="1D4274D8" w14:textId="77777777" w:rsidR="002A7B8B" w:rsidRDefault="00000000">
            <w:r>
              <w:t>1.00</w:t>
            </w:r>
          </w:p>
        </w:tc>
        <w:tc>
          <w:tcPr>
            <w:tcW w:w="2130" w:type="dxa"/>
            <w:tcBorders>
              <w:top w:val="single" w:sz="6" w:space="0" w:color="000000"/>
              <w:left w:val="single" w:sz="6" w:space="0" w:color="000000"/>
              <w:bottom w:val="single" w:sz="6" w:space="0" w:color="000000"/>
              <w:right w:val="single" w:sz="6" w:space="0" w:color="000000"/>
            </w:tcBorders>
          </w:tcPr>
          <w:p w14:paraId="19894E39" w14:textId="77777777" w:rsidR="002A7B8B" w:rsidRDefault="00000000">
            <w:r>
              <w:t>0.10</w:t>
            </w:r>
          </w:p>
        </w:tc>
        <w:tc>
          <w:tcPr>
            <w:tcW w:w="2175" w:type="dxa"/>
            <w:tcBorders>
              <w:top w:val="single" w:sz="6" w:space="0" w:color="000000"/>
              <w:left w:val="single" w:sz="6" w:space="0" w:color="000000"/>
              <w:bottom w:val="single" w:sz="6" w:space="0" w:color="000000"/>
              <w:right w:val="single" w:sz="6" w:space="0" w:color="000000"/>
            </w:tcBorders>
          </w:tcPr>
          <w:p w14:paraId="438AACAF" w14:textId="77777777" w:rsidR="002A7B8B" w:rsidRDefault="00000000">
            <w:r>
              <w:t>0.30</w:t>
            </w:r>
          </w:p>
        </w:tc>
      </w:tr>
      <w:tr w:rsidR="002A7B8B" w14:paraId="54463571" w14:textId="77777777">
        <w:trPr>
          <w:trHeight w:val="500"/>
        </w:trPr>
        <w:tc>
          <w:tcPr>
            <w:tcW w:w="1230" w:type="dxa"/>
            <w:tcBorders>
              <w:top w:val="single" w:sz="6" w:space="0" w:color="000000"/>
              <w:left w:val="single" w:sz="6" w:space="0" w:color="000000"/>
              <w:bottom w:val="single" w:sz="6" w:space="0" w:color="000000"/>
              <w:right w:val="single" w:sz="6" w:space="0" w:color="000000"/>
            </w:tcBorders>
          </w:tcPr>
          <w:p w14:paraId="030BDB07" w14:textId="77777777" w:rsidR="002A7B8B" w:rsidRDefault="00000000">
            <w:r>
              <w:rPr>
                <w:b/>
              </w:rPr>
              <w:t>Kellogg</w:t>
            </w:r>
          </w:p>
        </w:tc>
        <w:tc>
          <w:tcPr>
            <w:tcW w:w="2145" w:type="dxa"/>
            <w:tcBorders>
              <w:top w:val="single" w:sz="6" w:space="0" w:color="000000"/>
              <w:left w:val="single" w:sz="6" w:space="0" w:color="000000"/>
              <w:bottom w:val="single" w:sz="6" w:space="0" w:color="000000"/>
              <w:right w:val="single" w:sz="6" w:space="0" w:color="000000"/>
            </w:tcBorders>
          </w:tcPr>
          <w:p w14:paraId="78DE4AD2" w14:textId="77777777" w:rsidR="002A7B8B" w:rsidRDefault="00000000">
            <w:r>
              <w:t>0.10</w:t>
            </w:r>
          </w:p>
        </w:tc>
        <w:tc>
          <w:tcPr>
            <w:tcW w:w="2130" w:type="dxa"/>
            <w:tcBorders>
              <w:top w:val="single" w:sz="6" w:space="0" w:color="000000"/>
              <w:left w:val="single" w:sz="6" w:space="0" w:color="000000"/>
              <w:bottom w:val="single" w:sz="6" w:space="0" w:color="000000"/>
              <w:right w:val="single" w:sz="6" w:space="0" w:color="000000"/>
            </w:tcBorders>
          </w:tcPr>
          <w:p w14:paraId="02E94BBD" w14:textId="77777777" w:rsidR="002A7B8B" w:rsidRDefault="00000000">
            <w:r>
              <w:t>0.10</w:t>
            </w:r>
          </w:p>
        </w:tc>
        <w:tc>
          <w:tcPr>
            <w:tcW w:w="2130" w:type="dxa"/>
            <w:tcBorders>
              <w:top w:val="single" w:sz="6" w:space="0" w:color="000000"/>
              <w:left w:val="single" w:sz="6" w:space="0" w:color="000000"/>
              <w:bottom w:val="single" w:sz="6" w:space="0" w:color="000000"/>
              <w:right w:val="single" w:sz="6" w:space="0" w:color="000000"/>
            </w:tcBorders>
          </w:tcPr>
          <w:p w14:paraId="4B0B3600" w14:textId="77777777" w:rsidR="002A7B8B" w:rsidRDefault="00000000">
            <w:r>
              <w:t>1.00</w:t>
            </w:r>
          </w:p>
        </w:tc>
        <w:tc>
          <w:tcPr>
            <w:tcW w:w="2175" w:type="dxa"/>
            <w:tcBorders>
              <w:top w:val="single" w:sz="6" w:space="0" w:color="000000"/>
              <w:left w:val="single" w:sz="6" w:space="0" w:color="000000"/>
              <w:bottom w:val="single" w:sz="6" w:space="0" w:color="000000"/>
              <w:right w:val="single" w:sz="6" w:space="0" w:color="000000"/>
            </w:tcBorders>
          </w:tcPr>
          <w:p w14:paraId="08237B84" w14:textId="77777777" w:rsidR="002A7B8B" w:rsidRDefault="00000000">
            <w:r>
              <w:t>0.05</w:t>
            </w:r>
          </w:p>
        </w:tc>
      </w:tr>
      <w:tr w:rsidR="002A7B8B" w14:paraId="377D4D96" w14:textId="77777777">
        <w:trPr>
          <w:trHeight w:val="125"/>
        </w:trPr>
        <w:tc>
          <w:tcPr>
            <w:tcW w:w="1230" w:type="dxa"/>
            <w:tcBorders>
              <w:top w:val="single" w:sz="6" w:space="0" w:color="000000"/>
              <w:left w:val="single" w:sz="6" w:space="0" w:color="000000"/>
              <w:bottom w:val="single" w:sz="6" w:space="0" w:color="000000"/>
              <w:right w:val="single" w:sz="6" w:space="0" w:color="000000"/>
            </w:tcBorders>
          </w:tcPr>
          <w:p w14:paraId="247D1CA0" w14:textId="77777777" w:rsidR="002A7B8B" w:rsidRDefault="00000000">
            <w:r>
              <w:rPr>
                <w:b/>
              </w:rPr>
              <w:t>Kinross</w:t>
            </w:r>
          </w:p>
        </w:tc>
        <w:tc>
          <w:tcPr>
            <w:tcW w:w="2145" w:type="dxa"/>
            <w:tcBorders>
              <w:top w:val="single" w:sz="6" w:space="0" w:color="000000"/>
              <w:left w:val="single" w:sz="6" w:space="0" w:color="000000"/>
              <w:bottom w:val="single" w:sz="6" w:space="0" w:color="000000"/>
              <w:right w:val="single" w:sz="6" w:space="0" w:color="000000"/>
            </w:tcBorders>
          </w:tcPr>
          <w:p w14:paraId="6EBFE12A" w14:textId="77777777" w:rsidR="002A7B8B" w:rsidRDefault="00000000">
            <w:r>
              <w:t>0.05</w:t>
            </w:r>
          </w:p>
        </w:tc>
        <w:tc>
          <w:tcPr>
            <w:tcW w:w="2130" w:type="dxa"/>
            <w:tcBorders>
              <w:top w:val="single" w:sz="6" w:space="0" w:color="000000"/>
              <w:left w:val="single" w:sz="6" w:space="0" w:color="000000"/>
              <w:bottom w:val="single" w:sz="6" w:space="0" w:color="000000"/>
              <w:right w:val="single" w:sz="6" w:space="0" w:color="000000"/>
            </w:tcBorders>
          </w:tcPr>
          <w:p w14:paraId="522E0D8E" w14:textId="77777777" w:rsidR="002A7B8B" w:rsidRDefault="00000000">
            <w:r>
              <w:t>0.30</w:t>
            </w:r>
          </w:p>
        </w:tc>
        <w:tc>
          <w:tcPr>
            <w:tcW w:w="2130" w:type="dxa"/>
            <w:tcBorders>
              <w:top w:val="single" w:sz="6" w:space="0" w:color="000000"/>
              <w:left w:val="single" w:sz="6" w:space="0" w:color="000000"/>
              <w:bottom w:val="single" w:sz="6" w:space="0" w:color="000000"/>
              <w:right w:val="single" w:sz="6" w:space="0" w:color="000000"/>
            </w:tcBorders>
          </w:tcPr>
          <w:p w14:paraId="4BCADFD2" w14:textId="77777777" w:rsidR="002A7B8B" w:rsidRDefault="00000000">
            <w:r>
              <w:t>0.05</w:t>
            </w:r>
          </w:p>
        </w:tc>
        <w:tc>
          <w:tcPr>
            <w:tcW w:w="2175" w:type="dxa"/>
            <w:tcBorders>
              <w:top w:val="single" w:sz="6" w:space="0" w:color="000000"/>
              <w:left w:val="single" w:sz="6" w:space="0" w:color="000000"/>
              <w:bottom w:val="single" w:sz="6" w:space="0" w:color="000000"/>
              <w:right w:val="single" w:sz="6" w:space="0" w:color="000000"/>
            </w:tcBorders>
          </w:tcPr>
          <w:p w14:paraId="40F94FF5" w14:textId="77777777" w:rsidR="002A7B8B" w:rsidRDefault="00000000">
            <w:r>
              <w:t>1.00</w:t>
            </w:r>
          </w:p>
        </w:tc>
      </w:tr>
    </w:tbl>
    <w:p w14:paraId="5D163654" w14:textId="77777777" w:rsidR="002A7B8B" w:rsidRDefault="002A7B8B">
      <w:pPr>
        <w:spacing w:before="240" w:after="240"/>
        <w:rPr>
          <w:b/>
        </w:rPr>
      </w:pPr>
    </w:p>
    <w:p w14:paraId="382F0F41" w14:textId="77777777" w:rsidR="002A7B8B" w:rsidRDefault="00000000">
      <w:pPr>
        <w:spacing w:before="240" w:after="240"/>
        <w:rPr>
          <w:b/>
        </w:rPr>
      </w:pPr>
      <w:r>
        <w:rPr>
          <w:b/>
        </w:rPr>
        <w:lastRenderedPageBreak/>
        <w:t>CALCULATION</w:t>
      </w:r>
    </w:p>
    <w:p w14:paraId="0069092F" w14:textId="77777777" w:rsidR="002A7B8B" w:rsidRDefault="00000000">
      <w:pPr>
        <w:spacing w:before="240" w:after="240"/>
        <w:jc w:val="center"/>
        <w:rPr>
          <w:b/>
        </w:rPr>
      </w:pPr>
      <w:r>
        <w:t>Computed from the correlation matrix and standard deviations using the formula:</w:t>
      </w:r>
      <w:r>
        <w:br/>
        <w:t xml:space="preserve"> </w:t>
      </w:r>
      <w:r>
        <w:rPr>
          <w:b/>
        </w:rPr>
        <w:t>Cov_ij = ρ_ij × σ_i × σ_j</w:t>
      </w:r>
    </w:p>
    <w:p w14:paraId="5891F803" w14:textId="77777777" w:rsidR="002A7B8B" w:rsidRDefault="00000000">
      <w:pPr>
        <w:spacing w:before="240" w:after="240"/>
        <w:rPr>
          <w:b/>
        </w:rPr>
      </w:pPr>
      <w:r>
        <w:rPr>
          <w:b/>
        </w:rPr>
        <w:t>PORTFOLIO GENERATION</w:t>
      </w:r>
    </w:p>
    <w:p w14:paraId="72E45DCF" w14:textId="77777777" w:rsidR="002A7B8B" w:rsidRDefault="00000000">
      <w:pPr>
        <w:spacing w:before="240" w:after="240"/>
      </w:pPr>
      <w:r>
        <w:t>Created all possible combinations of weights (in 5% intervals) across the four stocks such that the total weight = 1. Each combination represents a unique asset allocation portfolio.</w:t>
      </w:r>
    </w:p>
    <w:p w14:paraId="3DEFCACE" w14:textId="77777777" w:rsidR="002A7B8B" w:rsidRDefault="00000000">
      <w:pPr>
        <w:spacing w:before="240" w:after="240"/>
      </w:pPr>
      <w:r>
        <w:t>3.</w:t>
      </w:r>
      <w:r>
        <w:rPr>
          <w:sz w:val="14"/>
          <w:szCs w:val="14"/>
        </w:rPr>
        <w:t xml:space="preserve">      </w:t>
      </w:r>
      <w:r>
        <w:t>4. Portfolio Metrics Computed</w:t>
      </w:r>
    </w:p>
    <w:p w14:paraId="33441D60" w14:textId="77777777" w:rsidR="002A7B8B" w:rsidRDefault="00000000">
      <w:pPr>
        <w:numPr>
          <w:ilvl w:val="0"/>
          <w:numId w:val="13"/>
        </w:numPr>
        <w:spacing w:before="240"/>
      </w:pPr>
      <w:r>
        <w:rPr>
          <w:b/>
        </w:rPr>
        <w:t>Expected Portfolio Return:</w:t>
      </w:r>
      <w:r>
        <w:t xml:space="preserve"> Weighted average of individual stock returns.</w:t>
      </w:r>
    </w:p>
    <w:p w14:paraId="5727ABDD" w14:textId="77777777" w:rsidR="002A7B8B" w:rsidRDefault="00000000">
      <w:pPr>
        <w:numPr>
          <w:ilvl w:val="0"/>
          <w:numId w:val="13"/>
        </w:numPr>
        <w:spacing w:after="240"/>
      </w:pPr>
      <w:r>
        <w:rPr>
          <w:b/>
        </w:rPr>
        <w:t>Portfolio Variance:</w:t>
      </w:r>
    </w:p>
    <w:p w14:paraId="27F91BC6" w14:textId="77777777" w:rsidR="002A7B8B" w:rsidRDefault="00000000">
      <w:pPr>
        <w:spacing w:before="240" w:after="240"/>
        <w:ind w:left="720"/>
      </w:pPr>
      <w:r>
        <w:t xml:space="preserve">        </w:t>
      </w:r>
      <w:r>
        <w:rPr>
          <w:b/>
        </w:rPr>
        <w:t xml:space="preserve"> </w:t>
      </w:r>
      <w:r>
        <w:t>Var_p = wᵀ × Σ × w</w:t>
      </w:r>
    </w:p>
    <w:p w14:paraId="1AAB3048" w14:textId="77777777" w:rsidR="002A7B8B" w:rsidRDefault="00000000">
      <w:pPr>
        <w:numPr>
          <w:ilvl w:val="0"/>
          <w:numId w:val="13"/>
        </w:numPr>
        <w:spacing w:before="240"/>
      </w:pPr>
      <w:r>
        <w:rPr>
          <w:b/>
        </w:rPr>
        <w:t>Portfolio Standard Deviation (Volatility):</w:t>
      </w:r>
      <w:r>
        <w:t xml:space="preserve"> Square root of variance.</w:t>
      </w:r>
    </w:p>
    <w:p w14:paraId="3467FA39" w14:textId="77777777" w:rsidR="002A7B8B" w:rsidRDefault="00000000">
      <w:pPr>
        <w:numPr>
          <w:ilvl w:val="0"/>
          <w:numId w:val="13"/>
        </w:numPr>
        <w:spacing w:after="240"/>
      </w:pPr>
      <w:r>
        <w:rPr>
          <w:b/>
        </w:rPr>
        <w:t>Sharpe Ratio:</w:t>
      </w:r>
    </w:p>
    <w:p w14:paraId="13F71BCD" w14:textId="77777777" w:rsidR="002A7B8B" w:rsidRDefault="00000000">
      <w:pPr>
        <w:spacing w:before="240" w:after="240"/>
        <w:ind w:left="720"/>
      </w:pPr>
      <w:r>
        <w:t xml:space="preserve">        </w:t>
      </w:r>
      <w:r>
        <w:rPr>
          <w:b/>
        </w:rPr>
        <w:t xml:space="preserve"> </w:t>
      </w:r>
      <w:r>
        <w:t>Sharpe = (E[R_p] - R_f) / σ_p (R_f = 2.34%)</w:t>
      </w:r>
    </w:p>
    <w:p w14:paraId="09F238B4" w14:textId="77777777" w:rsidR="002A7B8B" w:rsidRDefault="00000000">
      <w:pPr>
        <w:spacing w:before="240" w:after="240"/>
        <w:rPr>
          <w:b/>
        </w:rPr>
      </w:pPr>
      <w:r>
        <w:rPr>
          <w:b/>
        </w:rPr>
        <w:t>OPTIMISATION</w:t>
      </w:r>
    </w:p>
    <w:p w14:paraId="2C7611D5" w14:textId="77777777" w:rsidR="002A7B8B" w:rsidRDefault="00000000">
      <w:pPr>
        <w:spacing w:before="240" w:after="240"/>
      </w:pPr>
      <w:r>
        <w:t>Identified the portfolio with the maximum Sharpe Ratio. This is the most efficient portfolio, offering the highest return per unit of risk.</w:t>
      </w:r>
    </w:p>
    <w:p w14:paraId="4896D3F2" w14:textId="77777777" w:rsidR="002A7B8B" w:rsidRDefault="00000000">
      <w:pPr>
        <w:spacing w:before="240" w:after="240"/>
        <w:rPr>
          <w:b/>
        </w:rPr>
      </w:pPr>
      <w:r>
        <w:rPr>
          <w:b/>
        </w:rPr>
        <w:t>VISUALISATION</w:t>
      </w:r>
    </w:p>
    <w:p w14:paraId="5D4DD443" w14:textId="77777777" w:rsidR="002A7B8B" w:rsidRDefault="00000000">
      <w:pPr>
        <w:spacing w:before="240" w:after="240"/>
      </w:pPr>
      <w:r>
        <w:rPr>
          <w:noProof/>
        </w:rPr>
        <w:drawing>
          <wp:inline distT="114300" distB="114300" distL="114300" distR="114300" wp14:anchorId="4D6E4260" wp14:editId="19F54C4C">
            <wp:extent cx="5560175" cy="318106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560175" cy="3181062"/>
                    </a:xfrm>
                    <a:prstGeom prst="rect">
                      <a:avLst/>
                    </a:prstGeom>
                    <a:ln/>
                  </pic:spPr>
                </pic:pic>
              </a:graphicData>
            </a:graphic>
          </wp:inline>
        </w:drawing>
      </w:r>
    </w:p>
    <w:p w14:paraId="0DD4F705" w14:textId="77777777" w:rsidR="002A7B8B" w:rsidRDefault="00000000">
      <w:pPr>
        <w:pStyle w:val="Heading1"/>
        <w:keepNext w:val="0"/>
        <w:keepLines w:val="0"/>
        <w:spacing w:before="480"/>
        <w:rPr>
          <w:b/>
          <w:sz w:val="26"/>
          <w:szCs w:val="26"/>
        </w:rPr>
      </w:pPr>
      <w:bookmarkStart w:id="2" w:name="_4sjvn3lrl9np" w:colFirst="0" w:colLast="0"/>
      <w:bookmarkEnd w:id="2"/>
      <w:r>
        <w:rPr>
          <w:b/>
          <w:sz w:val="26"/>
          <w:szCs w:val="26"/>
        </w:rPr>
        <w:lastRenderedPageBreak/>
        <w:t>OUTCOME</w:t>
      </w:r>
    </w:p>
    <w:p w14:paraId="3E1524C7" w14:textId="77777777" w:rsidR="002A7B8B" w:rsidRDefault="00000000">
      <w:pPr>
        <w:rPr>
          <w:b/>
        </w:rPr>
      </w:pPr>
      <w:r>
        <w:rPr>
          <w:b/>
        </w:rPr>
        <w:t>Optimal Portfolio weights</w:t>
      </w:r>
    </w:p>
    <w:p w14:paraId="4C30B558" w14:textId="77777777" w:rsidR="002A7B8B" w:rsidRDefault="002A7B8B"/>
    <w:tbl>
      <w:tblPr>
        <w:tblStyle w:val="a4"/>
        <w:tblpPr w:leftFromText="180" w:rightFromText="180" w:topFromText="180" w:bottomFromText="180" w:vertAnchor="text" w:tblpX="-90"/>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21"/>
        <w:gridCol w:w="4289"/>
      </w:tblGrid>
      <w:tr w:rsidR="002A7B8B" w14:paraId="02546F12" w14:textId="77777777" w:rsidTr="00D11D5A">
        <w:trPr>
          <w:trHeight w:val="449"/>
        </w:trPr>
        <w:tc>
          <w:tcPr>
            <w:tcW w:w="4621" w:type="dxa"/>
            <w:tcBorders>
              <w:top w:val="single" w:sz="6" w:space="0" w:color="000000"/>
              <w:left w:val="single" w:sz="6" w:space="0" w:color="000000"/>
              <w:bottom w:val="single" w:sz="6" w:space="0" w:color="000000"/>
              <w:right w:val="single" w:sz="6" w:space="0" w:color="000000"/>
            </w:tcBorders>
          </w:tcPr>
          <w:p w14:paraId="03A9BCA6" w14:textId="77777777" w:rsidR="002A7B8B" w:rsidRDefault="00000000">
            <w:pPr>
              <w:jc w:val="center"/>
            </w:pPr>
            <w:r>
              <w:rPr>
                <w:b/>
              </w:rPr>
              <w:t>Stock</w:t>
            </w:r>
          </w:p>
        </w:tc>
        <w:tc>
          <w:tcPr>
            <w:tcW w:w="4289" w:type="dxa"/>
            <w:tcBorders>
              <w:top w:val="single" w:sz="6" w:space="0" w:color="000000"/>
              <w:left w:val="single" w:sz="6" w:space="0" w:color="000000"/>
              <w:bottom w:val="single" w:sz="6" w:space="0" w:color="000000"/>
              <w:right w:val="single" w:sz="6" w:space="0" w:color="000000"/>
            </w:tcBorders>
          </w:tcPr>
          <w:p w14:paraId="21B6F151" w14:textId="77777777" w:rsidR="002A7B8B" w:rsidRDefault="00000000">
            <w:pPr>
              <w:jc w:val="center"/>
            </w:pPr>
            <w:r>
              <w:rPr>
                <w:b/>
              </w:rPr>
              <w:t>Weight</w:t>
            </w:r>
          </w:p>
        </w:tc>
      </w:tr>
      <w:tr w:rsidR="002A7B8B" w14:paraId="66AF6C66" w14:textId="77777777" w:rsidTr="00D11D5A">
        <w:trPr>
          <w:trHeight w:val="449"/>
        </w:trPr>
        <w:tc>
          <w:tcPr>
            <w:tcW w:w="4621" w:type="dxa"/>
            <w:tcBorders>
              <w:top w:val="single" w:sz="6" w:space="0" w:color="000000"/>
              <w:left w:val="single" w:sz="6" w:space="0" w:color="000000"/>
              <w:bottom w:val="single" w:sz="6" w:space="0" w:color="000000"/>
              <w:right w:val="single" w:sz="6" w:space="0" w:color="000000"/>
            </w:tcBorders>
          </w:tcPr>
          <w:p w14:paraId="7C35B351" w14:textId="77777777" w:rsidR="002A7B8B" w:rsidRDefault="00000000">
            <w:r>
              <w:rPr>
                <w:b/>
              </w:rPr>
              <w:t>Delphi</w:t>
            </w:r>
          </w:p>
        </w:tc>
        <w:tc>
          <w:tcPr>
            <w:tcW w:w="4289" w:type="dxa"/>
            <w:tcBorders>
              <w:top w:val="single" w:sz="6" w:space="0" w:color="000000"/>
              <w:left w:val="single" w:sz="6" w:space="0" w:color="000000"/>
              <w:bottom w:val="single" w:sz="6" w:space="0" w:color="000000"/>
              <w:right w:val="single" w:sz="6" w:space="0" w:color="000000"/>
            </w:tcBorders>
          </w:tcPr>
          <w:p w14:paraId="332D29F5" w14:textId="77777777" w:rsidR="002A7B8B" w:rsidRDefault="00000000">
            <w:r>
              <w:t>0.50 (50%)</w:t>
            </w:r>
          </w:p>
        </w:tc>
      </w:tr>
      <w:tr w:rsidR="002A7B8B" w14:paraId="0D23CF59" w14:textId="77777777" w:rsidTr="00D11D5A">
        <w:trPr>
          <w:trHeight w:val="449"/>
        </w:trPr>
        <w:tc>
          <w:tcPr>
            <w:tcW w:w="4621" w:type="dxa"/>
            <w:tcBorders>
              <w:top w:val="single" w:sz="6" w:space="0" w:color="000000"/>
              <w:left w:val="single" w:sz="6" w:space="0" w:color="000000"/>
              <w:bottom w:val="single" w:sz="6" w:space="0" w:color="000000"/>
              <w:right w:val="single" w:sz="6" w:space="0" w:color="000000"/>
            </w:tcBorders>
          </w:tcPr>
          <w:p w14:paraId="72DE816F" w14:textId="77777777" w:rsidR="002A7B8B" w:rsidRDefault="00000000">
            <w:r>
              <w:rPr>
                <w:b/>
              </w:rPr>
              <w:t>Groupon</w:t>
            </w:r>
          </w:p>
        </w:tc>
        <w:tc>
          <w:tcPr>
            <w:tcW w:w="4289" w:type="dxa"/>
            <w:tcBorders>
              <w:top w:val="single" w:sz="6" w:space="0" w:color="000000"/>
              <w:left w:val="single" w:sz="6" w:space="0" w:color="000000"/>
              <w:bottom w:val="single" w:sz="6" w:space="0" w:color="000000"/>
              <w:right w:val="single" w:sz="6" w:space="0" w:color="000000"/>
            </w:tcBorders>
          </w:tcPr>
          <w:p w14:paraId="5D186D3E" w14:textId="77777777" w:rsidR="002A7B8B" w:rsidRDefault="00000000">
            <w:r>
              <w:t>0.00 (0%)</w:t>
            </w:r>
          </w:p>
        </w:tc>
      </w:tr>
      <w:tr w:rsidR="002A7B8B" w14:paraId="0B02C716" w14:textId="77777777" w:rsidTr="00D11D5A">
        <w:trPr>
          <w:trHeight w:val="449"/>
        </w:trPr>
        <w:tc>
          <w:tcPr>
            <w:tcW w:w="4621" w:type="dxa"/>
            <w:tcBorders>
              <w:top w:val="single" w:sz="6" w:space="0" w:color="000000"/>
              <w:left w:val="single" w:sz="6" w:space="0" w:color="000000"/>
              <w:bottom w:val="single" w:sz="6" w:space="0" w:color="000000"/>
              <w:right w:val="single" w:sz="6" w:space="0" w:color="000000"/>
            </w:tcBorders>
          </w:tcPr>
          <w:p w14:paraId="31D64B6C" w14:textId="77777777" w:rsidR="002A7B8B" w:rsidRDefault="00000000">
            <w:r>
              <w:rPr>
                <w:b/>
              </w:rPr>
              <w:t>Kellogg</w:t>
            </w:r>
          </w:p>
        </w:tc>
        <w:tc>
          <w:tcPr>
            <w:tcW w:w="4289" w:type="dxa"/>
            <w:tcBorders>
              <w:top w:val="single" w:sz="6" w:space="0" w:color="000000"/>
              <w:left w:val="single" w:sz="6" w:space="0" w:color="000000"/>
              <w:bottom w:val="single" w:sz="6" w:space="0" w:color="000000"/>
              <w:right w:val="single" w:sz="6" w:space="0" w:color="000000"/>
            </w:tcBorders>
          </w:tcPr>
          <w:p w14:paraId="051829A8" w14:textId="77777777" w:rsidR="002A7B8B" w:rsidRDefault="00000000">
            <w:r>
              <w:t>0.45 (45%)</w:t>
            </w:r>
          </w:p>
        </w:tc>
      </w:tr>
      <w:tr w:rsidR="002A7B8B" w14:paraId="5EF13B65" w14:textId="77777777" w:rsidTr="00D11D5A">
        <w:trPr>
          <w:trHeight w:val="449"/>
        </w:trPr>
        <w:tc>
          <w:tcPr>
            <w:tcW w:w="4621" w:type="dxa"/>
            <w:tcBorders>
              <w:top w:val="single" w:sz="6" w:space="0" w:color="000000"/>
              <w:left w:val="single" w:sz="6" w:space="0" w:color="000000"/>
              <w:bottom w:val="single" w:sz="6" w:space="0" w:color="000000"/>
              <w:right w:val="single" w:sz="6" w:space="0" w:color="000000"/>
            </w:tcBorders>
          </w:tcPr>
          <w:p w14:paraId="049C3B30" w14:textId="77777777" w:rsidR="002A7B8B" w:rsidRDefault="00000000">
            <w:r>
              <w:rPr>
                <w:b/>
              </w:rPr>
              <w:t>Kinross</w:t>
            </w:r>
          </w:p>
        </w:tc>
        <w:tc>
          <w:tcPr>
            <w:tcW w:w="4289" w:type="dxa"/>
            <w:tcBorders>
              <w:top w:val="single" w:sz="6" w:space="0" w:color="000000"/>
              <w:left w:val="single" w:sz="6" w:space="0" w:color="000000"/>
              <w:bottom w:val="single" w:sz="6" w:space="0" w:color="000000"/>
              <w:right w:val="single" w:sz="6" w:space="0" w:color="000000"/>
            </w:tcBorders>
          </w:tcPr>
          <w:p w14:paraId="789749A5" w14:textId="77777777" w:rsidR="002A7B8B" w:rsidRDefault="00000000">
            <w:r>
              <w:t>0.05 (5%)</w:t>
            </w:r>
          </w:p>
        </w:tc>
      </w:tr>
    </w:tbl>
    <w:p w14:paraId="67BBC070" w14:textId="766DC98B" w:rsidR="002A7B8B" w:rsidRPr="00D11D5A" w:rsidRDefault="00000000" w:rsidP="00D11D5A">
      <w:pPr>
        <w:spacing w:before="240" w:after="240"/>
        <w:rPr>
          <w:rFonts w:ascii="Times New Roman" w:eastAsia="Times New Roman" w:hAnsi="Times New Roman" w:cs="Times New Roman"/>
          <w:sz w:val="14"/>
          <w:szCs w:val="14"/>
        </w:rPr>
      </w:pPr>
      <w:bookmarkStart w:id="3" w:name="_o81jzl19gf0x" w:colFirst="0" w:colLast="0"/>
      <w:bookmarkEnd w:id="3"/>
      <w:r>
        <w:rPr>
          <w:b/>
          <w:color w:val="000000"/>
        </w:rPr>
        <w:t>Interpretation:</w:t>
      </w:r>
    </w:p>
    <w:p w14:paraId="28D27DCD" w14:textId="77777777" w:rsidR="002A7B8B" w:rsidRDefault="00000000">
      <w:pPr>
        <w:numPr>
          <w:ilvl w:val="0"/>
          <w:numId w:val="5"/>
        </w:numPr>
        <w:spacing w:before="240"/>
      </w:pPr>
      <w:r>
        <w:rPr>
          <w:b/>
        </w:rPr>
        <w:t>Delphi (50%)</w:t>
      </w:r>
      <w:r>
        <w:t xml:space="preserve"> is the core holding due to highest Sharpe Ratio (0.27)</w:t>
      </w:r>
    </w:p>
    <w:p w14:paraId="2E30F7A4" w14:textId="77777777" w:rsidR="002A7B8B" w:rsidRDefault="00000000">
      <w:pPr>
        <w:numPr>
          <w:ilvl w:val="0"/>
          <w:numId w:val="5"/>
        </w:numPr>
      </w:pPr>
      <w:r>
        <w:rPr>
          <w:b/>
        </w:rPr>
        <w:t>Kellogg (45%)</w:t>
      </w:r>
      <w:r>
        <w:t xml:space="preserve"> is included for low volatility (14.6%) and diversification benefit.</w:t>
      </w:r>
    </w:p>
    <w:p w14:paraId="27992413" w14:textId="77777777" w:rsidR="002A7B8B" w:rsidRDefault="00000000">
      <w:pPr>
        <w:numPr>
          <w:ilvl w:val="0"/>
          <w:numId w:val="5"/>
        </w:numPr>
      </w:pPr>
      <w:r>
        <w:rPr>
          <w:b/>
        </w:rPr>
        <w:t>Kinross (5%)</w:t>
      </w:r>
      <w:r>
        <w:t xml:space="preserve"> is a small holding for diversification, despite high volatility (65%).</w:t>
      </w:r>
    </w:p>
    <w:p w14:paraId="3909AA0B" w14:textId="77777777" w:rsidR="002A7B8B" w:rsidRDefault="00000000">
      <w:pPr>
        <w:numPr>
          <w:ilvl w:val="0"/>
          <w:numId w:val="5"/>
        </w:numPr>
        <w:spacing w:after="240"/>
      </w:pPr>
      <w:r>
        <w:rPr>
          <w:b/>
        </w:rPr>
        <w:t>Groupon (0%)</w:t>
      </w:r>
      <w:r>
        <w:t xml:space="preserve"> is excluded, due to its high volatility and low Sharpe Ratio (0.10).</w:t>
      </w:r>
    </w:p>
    <w:p w14:paraId="42CD4A3A" w14:textId="77777777" w:rsidR="002A7B8B" w:rsidRDefault="00000000">
      <w:pPr>
        <w:pStyle w:val="Heading1"/>
        <w:keepNext w:val="0"/>
        <w:keepLines w:val="0"/>
        <w:spacing w:before="480"/>
        <w:rPr>
          <w:b/>
          <w:sz w:val="26"/>
          <w:szCs w:val="26"/>
        </w:rPr>
      </w:pPr>
      <w:bookmarkStart w:id="4" w:name="_a6uguacoxf8g" w:colFirst="0" w:colLast="0"/>
      <w:bookmarkEnd w:id="4"/>
      <w:r>
        <w:rPr>
          <w:b/>
          <w:sz w:val="26"/>
          <w:szCs w:val="26"/>
        </w:rPr>
        <w:t>CONCLUSION</w:t>
      </w:r>
    </w:p>
    <w:p w14:paraId="58A571EE" w14:textId="77777777" w:rsidR="002A7B8B" w:rsidRDefault="00000000">
      <w:pPr>
        <w:spacing w:before="240" w:after="240"/>
        <w:rPr>
          <w:b/>
        </w:rPr>
      </w:pPr>
      <w:r>
        <w:t>The resulting optimal portfolio is best suited for maximizing returns at a given risk level and supports rational asset allocation for the Cavalier Fund..</w:t>
      </w:r>
    </w:p>
    <w:p w14:paraId="5E108FA6" w14:textId="77777777" w:rsidR="002A7B8B" w:rsidRDefault="002A7B8B">
      <w:pPr>
        <w:spacing w:before="240" w:after="240"/>
      </w:pPr>
    </w:p>
    <w:p w14:paraId="3C63CB7D" w14:textId="77777777" w:rsidR="002A7B8B" w:rsidRDefault="00000000">
      <w:pPr>
        <w:spacing w:before="240" w:after="240"/>
      </w:pPr>
      <w:r>
        <w:br/>
      </w:r>
    </w:p>
    <w:p w14:paraId="5B8261BC" w14:textId="77777777" w:rsidR="002A7B8B" w:rsidRDefault="002A7B8B"/>
    <w:p w14:paraId="33EC55A5" w14:textId="77777777" w:rsidR="002A7B8B" w:rsidRDefault="002A7B8B"/>
    <w:p w14:paraId="0C9E6772" w14:textId="77777777" w:rsidR="002A7B8B" w:rsidRDefault="002A7B8B"/>
    <w:p w14:paraId="33F34559" w14:textId="77777777" w:rsidR="002A7B8B" w:rsidRDefault="002A7B8B"/>
    <w:p w14:paraId="16B8455F" w14:textId="77777777" w:rsidR="002A7B8B" w:rsidRDefault="002A7B8B"/>
    <w:p w14:paraId="3649FF6A" w14:textId="77777777" w:rsidR="002A7B8B" w:rsidRDefault="002A7B8B"/>
    <w:p w14:paraId="4FD85E4C" w14:textId="77777777" w:rsidR="002A7B8B" w:rsidRDefault="002A7B8B"/>
    <w:p w14:paraId="3AA66CD1" w14:textId="77777777" w:rsidR="002A7B8B" w:rsidRDefault="002A7B8B"/>
    <w:p w14:paraId="1DA95449" w14:textId="77777777" w:rsidR="002A7B8B" w:rsidRDefault="002A7B8B"/>
    <w:p w14:paraId="04133D81" w14:textId="77777777" w:rsidR="002A7B8B" w:rsidRDefault="002A7B8B"/>
    <w:sectPr w:rsidR="002A7B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C505D"/>
    <w:multiLevelType w:val="multilevel"/>
    <w:tmpl w:val="98BAA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DA4035"/>
    <w:multiLevelType w:val="multilevel"/>
    <w:tmpl w:val="D6BC7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1665CE"/>
    <w:multiLevelType w:val="multilevel"/>
    <w:tmpl w:val="9F3AD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78325D"/>
    <w:multiLevelType w:val="multilevel"/>
    <w:tmpl w:val="9AF07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A547DC"/>
    <w:multiLevelType w:val="multilevel"/>
    <w:tmpl w:val="1DAEE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F471BE"/>
    <w:multiLevelType w:val="multilevel"/>
    <w:tmpl w:val="9DECD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811CDA"/>
    <w:multiLevelType w:val="multilevel"/>
    <w:tmpl w:val="3280D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D51C3C"/>
    <w:multiLevelType w:val="multilevel"/>
    <w:tmpl w:val="CB6A5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7514A0"/>
    <w:multiLevelType w:val="multilevel"/>
    <w:tmpl w:val="ED241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9A6817"/>
    <w:multiLevelType w:val="multilevel"/>
    <w:tmpl w:val="33F6C7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1F1F98"/>
    <w:multiLevelType w:val="multilevel"/>
    <w:tmpl w:val="7F066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734BEC"/>
    <w:multiLevelType w:val="multilevel"/>
    <w:tmpl w:val="E3745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C502DF"/>
    <w:multiLevelType w:val="multilevel"/>
    <w:tmpl w:val="950C6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EE0B38"/>
    <w:multiLevelType w:val="multilevel"/>
    <w:tmpl w:val="420AF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F55E81"/>
    <w:multiLevelType w:val="multilevel"/>
    <w:tmpl w:val="86B2E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CD9723C"/>
    <w:multiLevelType w:val="multilevel"/>
    <w:tmpl w:val="52FA8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7448765">
    <w:abstractNumId w:val="15"/>
  </w:num>
  <w:num w:numId="2" w16cid:durableId="2025353978">
    <w:abstractNumId w:val="9"/>
  </w:num>
  <w:num w:numId="3" w16cid:durableId="1629120545">
    <w:abstractNumId w:val="2"/>
  </w:num>
  <w:num w:numId="4" w16cid:durableId="611547483">
    <w:abstractNumId w:val="1"/>
  </w:num>
  <w:num w:numId="5" w16cid:durableId="1926844086">
    <w:abstractNumId w:val="5"/>
  </w:num>
  <w:num w:numId="6" w16cid:durableId="554925708">
    <w:abstractNumId w:val="7"/>
  </w:num>
  <w:num w:numId="7" w16cid:durableId="1316838550">
    <w:abstractNumId w:val="0"/>
  </w:num>
  <w:num w:numId="8" w16cid:durableId="542837210">
    <w:abstractNumId w:val="12"/>
  </w:num>
  <w:num w:numId="9" w16cid:durableId="227573441">
    <w:abstractNumId w:val="14"/>
  </w:num>
  <w:num w:numId="10" w16cid:durableId="435100758">
    <w:abstractNumId w:val="3"/>
  </w:num>
  <w:num w:numId="11" w16cid:durableId="977301987">
    <w:abstractNumId w:val="13"/>
  </w:num>
  <w:num w:numId="12" w16cid:durableId="268632298">
    <w:abstractNumId w:val="8"/>
  </w:num>
  <w:num w:numId="13" w16cid:durableId="1038552451">
    <w:abstractNumId w:val="4"/>
  </w:num>
  <w:num w:numId="14" w16cid:durableId="617757263">
    <w:abstractNumId w:val="11"/>
  </w:num>
  <w:num w:numId="15" w16cid:durableId="221260874">
    <w:abstractNumId w:val="10"/>
  </w:num>
  <w:num w:numId="16" w16cid:durableId="8556553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B8B"/>
    <w:rsid w:val="002A7B8B"/>
    <w:rsid w:val="005E08EA"/>
    <w:rsid w:val="00D11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657FA5"/>
  <w15:docId w15:val="{039C7ABF-4B6E-4C12-B64A-D86B2266A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2659</Words>
  <Characters>13937</Characters>
  <Application>Microsoft Office Word</Application>
  <DocSecurity>0</DocSecurity>
  <Lines>464</Lines>
  <Paragraphs>360</Paragraphs>
  <ScaleCrop>false</ScaleCrop>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Pragya Puri</cp:lastModifiedBy>
  <cp:revision>2</cp:revision>
  <dcterms:created xsi:type="dcterms:W3CDTF">2025-06-26T09:51:00Z</dcterms:created>
  <dcterms:modified xsi:type="dcterms:W3CDTF">2025-06-26T09:52:00Z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c5a564c2-e713-4699-8821-1a4dd4c437e5</vt:lpwstr>
  </property>
</Properties>
</file>