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6450"/>
      </w:tblGrid>
      <w:tr w:rsidR="00142DAB">
        <w:tblPrEx>
          <w:tblCellMar>
            <w:top w:w="0" w:type="dxa"/>
            <w:bottom w:w="0" w:type="dxa"/>
          </w:tblCellMar>
        </w:tblPrEx>
        <w:tc>
          <w:tcPr>
            <w:tcW w:w="0" w:type="auto"/>
            <w:gridSpan w:val="2"/>
            <w:tcBorders>
              <w:top w:val="single" w:sz="1" w:space="0" w:color="1F3864"/>
              <w:left w:val="single" w:sz="1" w:space="0" w:color="1F3864"/>
              <w:bottom w:val="single" w:sz="1" w:space="0" w:color="1F3864"/>
              <w:right w:val="single" w:sz="1" w:space="0" w:color="1F3864"/>
            </w:tcBorders>
            <w:shd w:val="clear" w:color="auto" w:fill="1F3864"/>
            <w:tcMar>
              <w:top w:w="200" w:type="dxa"/>
              <w:left w:w="240" w:type="dxa"/>
              <w:bottom w:w="200" w:type="dxa"/>
              <w:right w:w="240" w:type="dxa"/>
            </w:tcMar>
          </w:tcPr>
          <w:p w:rsidR="00142DAB" w:rsidRDefault="00C63C6D">
            <w:pPr>
              <w:spacing w:before="60" w:after="20"/>
            </w:pPr>
            <w:r>
              <w:rPr>
                <w:b/>
                <w:bCs/>
                <w:color w:val="FFFFFF"/>
                <w:sz w:val="28"/>
                <w:szCs w:val="28"/>
              </w:rPr>
              <w:t>LICHEN MANUFACTURING</w:t>
            </w:r>
          </w:p>
          <w:p w:rsidR="00142DAB" w:rsidRDefault="00C63C6D">
            <w:pPr>
              <w:spacing w:before="100" w:after="20"/>
            </w:pPr>
            <w:r>
              <w:rPr>
                <w:color w:val="AACCEE"/>
                <w:sz w:val="22"/>
                <w:szCs w:val="22"/>
              </w:rPr>
              <w:t>AI-Assisted Vendor Onboarding Pipeline</w:t>
            </w:r>
          </w:p>
          <w:p w:rsidR="00142DAB" w:rsidRDefault="00C63C6D">
            <w:pPr>
              <w:spacing w:before="100" w:after="20"/>
            </w:pPr>
            <w:r>
              <w:rPr>
                <w:b/>
                <w:bCs/>
                <w:color w:val="FFFFFF"/>
                <w:sz w:val="36"/>
                <w:szCs w:val="36"/>
              </w:rPr>
              <w:t>Context Contract</w:t>
            </w:r>
          </w:p>
          <w:p w:rsidR="00142DAB" w:rsidRDefault="00C63C6D">
            <w:pPr>
              <w:spacing w:before="100" w:after="60"/>
            </w:pPr>
            <w:r>
              <w:rPr>
                <w:i/>
                <w:iCs/>
                <w:color w:val="AACCEE"/>
                <w:sz w:val="18"/>
                <w:szCs w:val="18"/>
              </w:rPr>
              <w:t xml:space="preserve">Illustrated with </w:t>
            </w:r>
            <w:proofErr w:type="spellStart"/>
            <w:r>
              <w:rPr>
                <w:i/>
                <w:iCs/>
                <w:color w:val="AACCEE"/>
                <w:sz w:val="18"/>
                <w:szCs w:val="18"/>
              </w:rPr>
              <w:t>OptiChain</w:t>
            </w:r>
            <w:proofErr w:type="spellEnd"/>
            <w:r>
              <w:rPr>
                <w:i/>
                <w:iCs/>
                <w:color w:val="AACCEE"/>
                <w:sz w:val="18"/>
                <w:szCs w:val="18"/>
              </w:rPr>
              <w:t xml:space="preserve"> as the Onboarding Candidate</w:t>
            </w:r>
          </w:p>
        </w:tc>
      </w:tr>
      <w:tr w:rsidR="00142DAB">
        <w:tblPrEx>
          <w:tblCellMar>
            <w:top w:w="0" w:type="dxa"/>
            <w:bottom w:w="0" w:type="dxa"/>
          </w:tblCellMar>
        </w:tblPrEx>
        <w:tc>
          <w:tcPr>
            <w:tcW w:w="0" w:type="auto"/>
            <w:tcBorders>
              <w:top w:val="single" w:sz="1" w:space="0" w:color="BDD0E9"/>
              <w:left w:val="single" w:sz="1" w:space="0" w:color="1F3864"/>
              <w:bottom w:val="single" w:sz="1" w:space="0" w:color="BDD0E9"/>
              <w:right w:val="single" w:sz="1" w:space="0" w:color="BDD0E9"/>
            </w:tcBorders>
            <w:shd w:val="clear" w:color="auto" w:fill="F0F4FA"/>
            <w:tcMar>
              <w:top w:w="120" w:type="dxa"/>
              <w:left w:w="240" w:type="dxa"/>
              <w:bottom w:w="120" w:type="dxa"/>
              <w:right w:w="120" w:type="dxa"/>
            </w:tcMar>
          </w:tcPr>
          <w:p w:rsidR="00142DAB" w:rsidRDefault="00C63C6D">
            <w:pPr>
              <w:spacing w:before="40" w:after="20"/>
            </w:pPr>
            <w:r>
              <w:rPr>
                <w:b/>
                <w:bCs/>
                <w:color w:val="595959"/>
                <w:sz w:val="18"/>
                <w:szCs w:val="18"/>
              </w:rPr>
              <w:t>DOCUMENT ID</w:t>
            </w:r>
          </w:p>
          <w:p w:rsidR="00142DAB" w:rsidRDefault="00C63C6D">
            <w:pPr>
              <w:spacing w:before="100" w:after="40"/>
            </w:pPr>
            <w:r>
              <w:rPr>
                <w:b/>
                <w:bCs/>
                <w:color w:val="1F3864"/>
                <w:sz w:val="22"/>
                <w:szCs w:val="22"/>
              </w:rPr>
              <w:t>CC-001</w:t>
            </w:r>
          </w:p>
          <w:p w:rsidR="00142DAB" w:rsidRDefault="00C63C6D">
            <w:pPr>
              <w:spacing w:before="40" w:after="20"/>
            </w:pPr>
            <w:r>
              <w:rPr>
                <w:b/>
                <w:bCs/>
                <w:color w:val="595959"/>
                <w:sz w:val="18"/>
                <w:szCs w:val="18"/>
              </w:rPr>
              <w:t>STATUS</w:t>
            </w:r>
          </w:p>
          <w:p w:rsidR="00142DAB" w:rsidRDefault="00C63C6D">
            <w:pPr>
              <w:spacing w:before="100" w:after="40"/>
            </w:pPr>
            <w:r>
              <w:rPr>
                <w:b/>
                <w:bCs/>
              </w:rPr>
              <w:t>DRAFT v1.1</w:t>
            </w:r>
          </w:p>
          <w:p w:rsidR="00142DAB" w:rsidRDefault="00C63C6D">
            <w:pPr>
              <w:spacing w:before="40" w:after="20"/>
            </w:pPr>
            <w:r>
              <w:rPr>
                <w:b/>
                <w:bCs/>
                <w:color w:val="595959"/>
                <w:sz w:val="18"/>
                <w:szCs w:val="18"/>
              </w:rPr>
              <w:t>OWNER</w:t>
            </w:r>
          </w:p>
          <w:p w:rsidR="00142DAB" w:rsidRDefault="00C63C6D">
            <w:pPr>
              <w:spacing w:before="100" w:after="40"/>
            </w:pPr>
            <w:r>
              <w:t>IT Architecture / Legal / Procurement</w:t>
            </w:r>
          </w:p>
          <w:p w:rsidR="00142DAB" w:rsidRDefault="00C63C6D">
            <w:pPr>
              <w:spacing w:before="40" w:after="20"/>
            </w:pPr>
            <w:r>
              <w:rPr>
                <w:b/>
                <w:bCs/>
                <w:color w:val="595959"/>
                <w:sz w:val="18"/>
                <w:szCs w:val="18"/>
              </w:rPr>
              <w:t>LAST UPDATED</w:t>
            </w:r>
          </w:p>
          <w:p w:rsidR="00142DAB" w:rsidRDefault="00C63C6D">
            <w:pPr>
              <w:spacing w:before="100" w:after="40"/>
            </w:pPr>
            <w:r>
              <w:t>April 7, 2026</w:t>
            </w:r>
          </w:p>
        </w:tc>
        <w:tc>
          <w:tcPr>
            <w:tcW w:w="0" w:type="auto"/>
            <w:tcBorders>
              <w:top w:val="single" w:sz="1" w:space="0" w:color="BDD0E9"/>
              <w:left w:val="single" w:sz="1" w:space="0" w:color="BDD0E9"/>
              <w:bottom w:val="single" w:sz="1" w:space="0" w:color="BDD0E9"/>
              <w:right w:val="single" w:sz="1" w:space="0" w:color="1F3864"/>
            </w:tcBorders>
            <w:shd w:val="clear" w:color="auto" w:fill="F0F4FA"/>
            <w:tcMar>
              <w:top w:w="120" w:type="dxa"/>
              <w:left w:w="120" w:type="dxa"/>
              <w:bottom w:w="120" w:type="dxa"/>
              <w:right w:w="240" w:type="dxa"/>
            </w:tcMar>
          </w:tcPr>
          <w:p w:rsidR="00142DAB" w:rsidRDefault="00C63C6D">
            <w:pPr>
              <w:spacing w:before="40" w:after="20"/>
            </w:pPr>
            <w:r>
              <w:rPr>
                <w:b/>
                <w:bCs/>
                <w:color w:val="595959"/>
                <w:sz w:val="18"/>
                <w:szCs w:val="18"/>
              </w:rPr>
              <w:t>DOCUMENT HIERARCHY</w:t>
            </w:r>
          </w:p>
          <w:p w:rsidR="00142DAB" w:rsidRDefault="00C63C6D">
            <w:pPr>
              <w:spacing w:before="20" w:after="10"/>
            </w:pPr>
            <w:r>
              <w:rPr>
                <w:color w:val="595959"/>
                <w:sz w:val="19"/>
                <w:szCs w:val="19"/>
              </w:rPr>
              <w:t>PRD</w:t>
            </w:r>
          </w:p>
          <w:p w:rsidR="00142DAB" w:rsidRDefault="00C63C6D">
            <w:pPr>
              <w:spacing w:before="100" w:after="10"/>
            </w:pPr>
            <w:r>
              <w:rPr>
                <w:color w:val="595959"/>
                <w:sz w:val="19"/>
                <w:szCs w:val="19"/>
              </w:rPr>
              <w:t>Design Doc</w:t>
            </w:r>
          </w:p>
          <w:p w:rsidR="00142DAB" w:rsidRDefault="00C63C6D">
            <w:pPr>
              <w:spacing w:before="100" w:after="10"/>
            </w:pPr>
            <w:proofErr w:type="gramStart"/>
            <w:r>
              <w:rPr>
                <w:b/>
                <w:bCs/>
                <w:color w:val="2E5FA3"/>
              </w:rPr>
              <w:t>►</w:t>
            </w:r>
            <w:r>
              <w:rPr>
                <w:b/>
                <w:bCs/>
                <w:color w:val="2E5FA3"/>
              </w:rPr>
              <w:t xml:space="preserve">  Context</w:t>
            </w:r>
            <w:proofErr w:type="gramEnd"/>
            <w:r>
              <w:rPr>
                <w:b/>
                <w:bCs/>
                <w:color w:val="2E5FA3"/>
              </w:rPr>
              <w:t xml:space="preserve"> Contract  ◄</w:t>
            </w:r>
          </w:p>
          <w:p w:rsidR="00142DAB" w:rsidRDefault="00C63C6D">
            <w:pPr>
              <w:spacing w:before="100" w:after="40"/>
            </w:pPr>
            <w:r>
              <w:rPr>
                <w:color w:val="595959"/>
                <w:sz w:val="19"/>
                <w:szCs w:val="19"/>
              </w:rPr>
              <w:t>Agent Spec</w:t>
            </w:r>
          </w:p>
          <w:p w:rsidR="00142DAB" w:rsidRDefault="00C63C6D">
            <w:pPr>
              <w:spacing w:before="60" w:after="20"/>
            </w:pPr>
            <w:r>
              <w:rPr>
                <w:b/>
                <w:bCs/>
                <w:color w:val="595959"/>
                <w:sz w:val="18"/>
                <w:szCs w:val="18"/>
              </w:rPr>
              <w:t>CONTRACT APPLIES TO</w:t>
            </w:r>
          </w:p>
          <w:p w:rsidR="00142DAB" w:rsidRDefault="00C63C6D">
            <w:pPr>
              <w:spacing w:before="100" w:after="40"/>
            </w:pPr>
            <w:proofErr w:type="spellStart"/>
            <w:r>
              <w:rPr>
                <w:sz w:val="19"/>
                <w:szCs w:val="19"/>
              </w:rPr>
              <w:t>OptiChain</w:t>
            </w:r>
            <w:proofErr w:type="spellEnd"/>
            <w:r>
              <w:rPr>
                <w:sz w:val="19"/>
                <w:szCs w:val="19"/>
              </w:rPr>
              <w:t xml:space="preserve"> vendor onboarding pipeline — all agents and retrieval operations within a single pipeline run.</w:t>
            </w:r>
          </w:p>
        </w:tc>
      </w:tr>
    </w:tbl>
    <w:p w:rsidR="00142DAB" w:rsidRDefault="00142DAB">
      <w:pPr>
        <w:spacing w:before="100" w:after="100"/>
      </w:pPr>
    </w:p>
    <w:p w:rsidR="00142DAB" w:rsidRDefault="00C63C6D">
      <w:pPr>
        <w:spacing w:before="60" w:after="60"/>
      </w:pPr>
      <w:r>
        <w:rPr>
          <w:i/>
          <w:iCs/>
          <w:color w:val="595959"/>
          <w:sz w:val="18"/>
          <w:szCs w:val="18"/>
        </w:rPr>
        <w:t xml:space="preserve">This Context Contract governs source authority, retrieval method, provenance requirements, evidence admissibility, conflict resolution, and audit triggers for the </w:t>
      </w:r>
      <w:proofErr w:type="spellStart"/>
      <w:r>
        <w:rPr>
          <w:i/>
          <w:iCs/>
          <w:color w:val="595959"/>
          <w:sz w:val="18"/>
          <w:szCs w:val="18"/>
        </w:rPr>
        <w:t>OptiChain</w:t>
      </w:r>
      <w:proofErr w:type="spellEnd"/>
      <w:r>
        <w:rPr>
          <w:i/>
          <w:iCs/>
          <w:color w:val="595959"/>
          <w:sz w:val="18"/>
          <w:szCs w:val="18"/>
        </w:rPr>
        <w:t xml:space="preserve"> vendor onboarding pipeline at Lichen Manufacturing. It governs retrieval, not agent</w:t>
      </w:r>
      <w:r>
        <w:rPr>
          <w:i/>
          <w:iCs/>
          <w:color w:val="595959"/>
          <w:sz w:val="18"/>
          <w:szCs w:val="18"/>
        </w:rPr>
        <w:t xml:space="preserve"> reasoning or pipeline step-control. Pipeline gate logic lives in the Design Doc. Behavioral rules live in the Agent Spec.</w:t>
      </w:r>
    </w:p>
    <w:p w:rsidR="00142DAB" w:rsidRDefault="00142DAB">
      <w:pPr>
        <w:spacing w:before="100" w:after="100"/>
      </w:pPr>
    </w:p>
    <w:p w:rsidR="00142DAB" w:rsidRDefault="00C63C6D">
      <w:pPr>
        <w:pStyle w:val="Heading1"/>
        <w:pBdr>
          <w:bottom w:val="single" w:sz="8" w:space="4" w:color="1F3864"/>
        </w:pBdr>
      </w:pPr>
      <w:r>
        <w:t>1. Purpose &amp; Scope</w:t>
      </w:r>
    </w:p>
    <w:p w:rsidR="00142DAB" w:rsidRDefault="00C63C6D">
      <w:pPr>
        <w:spacing w:before="80" w:after="80"/>
      </w:pPr>
      <w:r>
        <w:t>This Context Contract governs all retrieval operations, source access, evidence handling, provenance requirements</w:t>
      </w:r>
      <w:r>
        <w:t>, and conflict resolution for the AI-assisted vendor onboarding pipeline at Lichen Manufacturing. It is the authoritative reference for which sources agents are permitted to access, how evidence must be structured before downstream use, and what triggers e</w:t>
      </w:r>
      <w:r>
        <w:t>scalation or provisional status at the evidence layer. This document must be finalized and locked before orchestration is built. Pipeline step-control behavior (execution graph, gate logic, routing decisions) is governed by the Design Doc. Agent behavioral</w:t>
      </w:r>
      <w:r>
        <w:t xml:space="preserve"> rules (DOs, DON’Ts, output format enforcement) are governed by the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blPrEx>
          <w:tblCellMar>
            <w:top w:w="0" w:type="dxa"/>
            <w:bottom w:w="0" w:type="dxa"/>
          </w:tblCellMar>
        </w:tblPrEx>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GOVERNANCE BOUNDARY:  </w:t>
            </w:r>
            <w:r>
              <w:t>This document governs source admissibility, evidence sufficiency, provenance, retrieval permissions, freshness, conflict handling, and audit triggers. It</w:t>
            </w:r>
            <w:r>
              <w:t xml:space="preserve"> does not govern pipeline step sequencing, agent behavioral rules, or output schema definitions. Those belong in the Design Doc and Agent Spec respectively.</w:t>
            </w:r>
          </w:p>
        </w:tc>
      </w:tr>
    </w:tbl>
    <w:p w:rsidR="00142DAB" w:rsidRDefault="00142DAB">
      <w:pPr>
        <w:spacing w:before="100" w:after="100"/>
      </w:pPr>
    </w:p>
    <w:p w:rsidR="00142DAB" w:rsidRDefault="00C63C6D">
      <w:pPr>
        <w:pStyle w:val="Heading2"/>
      </w:pPr>
      <w:r>
        <w:t>1.1 Executive Navigation</w:t>
      </w:r>
    </w:p>
    <w:p w:rsidR="00142DAB" w:rsidRDefault="00C63C6D">
      <w:pPr>
        <w:spacing w:before="80" w:after="80"/>
      </w:pPr>
      <w:r>
        <w:t>Readers who need a quick orientation should read these sections first:</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142DAB">
        <w:tblPrEx>
          <w:tblCellMar>
            <w:top w:w="0" w:type="dxa"/>
            <w:bottom w:w="0" w:type="dxa"/>
          </w:tblCellMar>
        </w:tblPrEx>
        <w:tc>
          <w:tcPr>
            <w:tcW w:w="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SECTION</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WHY IT MATTERS</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§2</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Document Boundaries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What this contract does and does not govern.</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§3</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Initialization Manifest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Exactly which sources and versions are in scope for this run. The PROVISIONAL flag originates here.</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§4</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Authority Hierarchy &amp; Conflict Resolution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Which sources override which. How conflicts are resolved.</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§5</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Retrieval Method &amp; Endpoint Permissions</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How each source is </w:t>
            </w:r>
            <w:proofErr w:type="gramStart"/>
            <w:r>
              <w:rPr>
                <w:sz w:val="19"/>
                <w:szCs w:val="19"/>
              </w:rPr>
              <w:t>retrieved</w:t>
            </w:r>
            <w:proofErr w:type="gramEnd"/>
            <w:r>
              <w:rPr>
                <w:sz w:val="19"/>
                <w:szCs w:val="19"/>
              </w:rPr>
              <w:t xml:space="preserve"> and which agents are permitted at which index.</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§6</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Freshness &amp; Versioning Policy</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Source-class-specific staleness and version-pinning rules.</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§8</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Bundle Composition Requirements</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Minimum evidence each agent needs before its bundle is admissible.</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§11</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Sufficiency Thresholds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When retrieved evidence is sufficient to support a determination status.</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§12</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Escalation Ownership</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Which escalation types are triggered by retrieval conditions and who owns resolution.</w:t>
            </w:r>
          </w:p>
        </w:tc>
      </w:tr>
      <w:tr w:rsidR="00142DAB">
        <w:tblPrEx>
          <w:tblCellMar>
            <w:top w:w="0" w:type="dxa"/>
            <w:bottom w:w="0" w:type="dxa"/>
          </w:tblCellMar>
        </w:tblPrEx>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§13</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Citation Requirements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What every determination and audit log entry must cite.</w:t>
            </w:r>
          </w:p>
        </w:tc>
      </w:tr>
    </w:tbl>
    <w:p w:rsidR="00142DAB" w:rsidRDefault="00C63C6D">
      <w:pPr>
        <w:pStyle w:val="Heading1"/>
        <w:pBdr>
          <w:bottom w:val="single" w:sz="8" w:space="4" w:color="1F3864"/>
        </w:pBdr>
      </w:pPr>
      <w:r>
        <w:t>2. Document Boundaries</w:t>
      </w:r>
    </w:p>
    <w:p w:rsidR="00142DAB" w:rsidRDefault="00C63C6D">
      <w:pPr>
        <w:spacing w:before="80" w:after="80"/>
      </w:pPr>
      <w:r>
        <w:t>The table below is authoritative for scope disputes. When a rule touches both retrieval governance and agent behavior, the retrieval governance portion belongs here; the behavioral enforcement portion belongs in the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142DAB">
        <w:tblPrEx>
          <w:tblCellMar>
            <w:top w:w="0" w:type="dxa"/>
            <w:bottom w:w="0" w:type="dxa"/>
          </w:tblCellMar>
        </w:tblPrEx>
        <w:tc>
          <w:tcPr>
            <w:tcW w:w="3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THIS DOCUMENT ANSWERS</w:t>
            </w:r>
          </w:p>
        </w:tc>
        <w:tc>
          <w:tcPr>
            <w:tcW w:w="54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 xml:space="preserve">THIS </w:t>
            </w:r>
            <w:r>
              <w:rPr>
                <w:b/>
                <w:bCs/>
                <w:color w:val="FFFFFF"/>
                <w:sz w:val="19"/>
                <w:szCs w:val="19"/>
              </w:rPr>
              <w:t>DOCUMENT DEFERS TO</w:t>
            </w: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Which sources are authoritative</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Pipeline step-control behavior, gate logic, execution graph → Design Doc</w:t>
            </w: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authority hierarchy and override rules</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Agent behavioral rules and DOs / DON’Ts → Agent Spec</w:t>
            </w: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Freshness and staleness requirements by source class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Output format enforcement and exception handling → Agent Spec</w:t>
            </w: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Retrieval endpoint permissions per agent</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checklist schema and audit log entry schema → Design Doc §10</w:t>
            </w: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provenance minimum requirements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Evaluation criteria and CSR benchmarks → Agent Spec</w:t>
            </w: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Minimum bundle composition before a bundle is admissible</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How agents respond to inadmissible bundles (behavioral) → Agent Spec</w:t>
            </w: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sufficiency thresholds for determination status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 emission and routing logic → Design Doc §3 / Agent Spec</w:t>
            </w: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Conflict resolution protocol</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Escalation ownership (retrieval-triggered conditions)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142DAB">
            <w:pPr>
              <w:spacing w:before="40" w:after="40"/>
            </w:pP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Audit log trigger rules for retrieval events</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Canonical field mapping across source types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142DAB">
            <w:pPr>
              <w:spacing w:before="40" w:after="40"/>
            </w:pPr>
          </w:p>
        </w:tc>
      </w:tr>
      <w:tr w:rsidR="00142DAB">
        <w:tblPrEx>
          <w:tblCellMar>
            <w:top w:w="0" w:type="dxa"/>
            <w:bottom w:w="0" w:type="dxa"/>
          </w:tblCellMar>
        </w:tblPrEx>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Contract lock and change protocol</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bl>
    <w:p w:rsidR="00142DAB" w:rsidRDefault="00C63C6D">
      <w:pPr>
        <w:pStyle w:val="Heading1"/>
        <w:pBdr>
          <w:bottom w:val="single" w:sz="8" w:space="4" w:color="1F3864"/>
        </w:pBdr>
      </w:pPr>
      <w:r>
        <w:t>3. Status Model — Context Contract Alignment</w:t>
      </w:r>
    </w:p>
    <w:p w:rsidR="00142DAB" w:rsidRDefault="00C63C6D">
      <w:pPr>
        <w:spacing w:before="80" w:after="80"/>
      </w:pPr>
      <w:r>
        <w:t>The pipeline status model is defined in Design Doc §10. This section states how the Context Contract aligns with and extends that model at the evidence layer. The Design Doc remains authoritative for status signal definitions and schema. The Context Contra</w:t>
      </w:r>
      <w:r>
        <w:t>ct adds one clarification: how PROVISIONAL propagates through the evidence chain.</w:t>
      </w:r>
    </w:p>
    <w:p w:rsidR="00142DAB" w:rsidRDefault="00142DAB">
      <w:pPr>
        <w:spacing w:before="100" w:after="100"/>
      </w:pPr>
    </w:p>
    <w:p w:rsidR="00142DAB" w:rsidRDefault="00C63C6D">
      <w:pPr>
        <w:pStyle w:val="Heading2"/>
      </w:pPr>
      <w:r>
        <w:t>3.1 PROVISIONAL as a First-Class Pipeline Status</w:t>
      </w:r>
    </w:p>
    <w:p w:rsidR="00142DAB" w:rsidRDefault="00C63C6D">
      <w:pPr>
        <w:spacing w:before="80" w:after="80"/>
      </w:pPr>
      <w:r>
        <w:t>PROVISIONAL is a first-class pipeline status, co-equal with COMPLETE, ESCALATED, and BLOCKED. It is not a determination-leve</w:t>
      </w:r>
      <w:r>
        <w:t>l modifier that rolls up to ESCALATED. When any determination carries a PROVISIONAL evidence flag, the overall pipeline status is PROVISIONAL until resolved. This contract governs when evidence conditions create a PROVISIONAL flag; the Design Doc governs h</w:t>
      </w:r>
      <w:r>
        <w:t>ow the pipeline emits and routes that status.</w:t>
      </w:r>
    </w:p>
    <w:p w:rsidR="00142DAB" w:rsidRDefault="00142DAB">
      <w:pPr>
        <w:spacing w:before="100" w:after="100"/>
      </w:pPr>
    </w:p>
    <w:p w:rsidR="00142DAB" w:rsidRDefault="00C63C6D">
      <w:pPr>
        <w:pStyle w:val="Heading2"/>
      </w:pPr>
      <w:r>
        <w:t>3.2 BLOCKED vs. ESCALATED — Unified Convention</w:t>
      </w:r>
    </w:p>
    <w:p w:rsidR="00142DAB" w:rsidRDefault="00C63C6D">
      <w:pPr>
        <w:spacing w:before="80" w:after="80"/>
      </w:pPr>
      <w:r>
        <w:t>These two statuses are distinct and must not be conflated. The following convention applies throughout this document and must be consistent with the Design Doc an</w:t>
      </w:r>
      <w:r>
        <w:t>d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2DAB">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STATUS</w:t>
            </w:r>
          </w:p>
        </w:tc>
        <w:tc>
          <w:tcPr>
            <w:tcW w:w="6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DEFINITION AND USAGE</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BLOCKED (workflow state)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The pipeline cannot proceed on a step because required evidence is entirely absent — questionnaire not submitted, required upstream agent unresolved, mandatory source unavailable. BLOCKED is a workflow state. A BLOCKED step has no determination to escalate</w:t>
            </w:r>
            <w:r>
              <w:rPr>
                <w:sz w:val="19"/>
                <w:szCs w:val="19"/>
              </w:rPr>
              <w:t xml:space="preserve"> because there is no evidence to reason over.</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ESCALATED (resolution mode)</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The pipeline has evidence but cannot resolve the determination from that evidence alone — a conflict exists, the case falls outside defined rules, or human judgment is explicitly required. ESCALATED always has a resolution owner and a minimum evidence payl</w:t>
            </w:r>
            <w:r>
              <w:rPr>
                <w:sz w:val="19"/>
                <w:szCs w:val="19"/>
              </w:rPr>
              <w:t>oad. It is a resolution mode that may co-occur with BLOCKED (e.g., a step is BLOCKED pending a human decision that was itself ESCALATED).</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Combined expression (when applicable)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When a step is operationally halted AND requires a human decision, express both</w:t>
            </w:r>
            <w:r>
              <w:rPr>
                <w:sz w:val="19"/>
                <w:szCs w:val="19"/>
              </w:rPr>
              <w:t xml:space="preserve">: </w:t>
            </w:r>
            <w:proofErr w:type="spellStart"/>
            <w:r>
              <w:rPr>
                <w:sz w:val="19"/>
                <w:szCs w:val="19"/>
              </w:rPr>
              <w:t>workflow_state</w:t>
            </w:r>
            <w:proofErr w:type="spellEnd"/>
            <w:r>
              <w:rPr>
                <w:sz w:val="19"/>
                <w:szCs w:val="19"/>
              </w:rPr>
              <w:t xml:space="preserve"> = BLOCKED, </w:t>
            </w:r>
            <w:proofErr w:type="spellStart"/>
            <w:r>
              <w:rPr>
                <w:sz w:val="19"/>
                <w:szCs w:val="19"/>
              </w:rPr>
              <w:t>resolution_mode</w:t>
            </w:r>
            <w:proofErr w:type="spellEnd"/>
            <w:r>
              <w:rPr>
                <w:sz w:val="19"/>
                <w:szCs w:val="19"/>
              </w:rPr>
              <w:t xml:space="preserve"> = ESCALATED_TO_[OWNER]. This applies, for example, when multiple questionnaire versions are detected: the pipeline is </w:t>
            </w:r>
            <w:proofErr w:type="gramStart"/>
            <w:r>
              <w:rPr>
                <w:sz w:val="19"/>
                <w:szCs w:val="19"/>
              </w:rPr>
              <w:t>BLOCKED</w:t>
            </w:r>
            <w:proofErr w:type="gramEnd"/>
            <w:r>
              <w:rPr>
                <w:sz w:val="19"/>
                <w:szCs w:val="19"/>
              </w:rPr>
              <w:t xml:space="preserve"> and the version conflict is ESCALATED_TO_PROCUREMENT.</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blPrEx>
          <w:tblCellMar>
            <w:top w:w="0" w:type="dxa"/>
            <w:bottom w:w="0" w:type="dxa"/>
          </w:tblCellMar>
        </w:tblPrEx>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CONSISTENCY REQUIREMENT:  </w:t>
            </w:r>
            <w:r>
              <w:t xml:space="preserve">All sections of this document, the Design Doc, and the Agent Spec must use BLOCKED and ESCALATED according to this convention. Where the current Design Doc uses ESCALATED for conditions that are more precisely BLOCKED, those will be reconciled in the next </w:t>
            </w:r>
            <w:r>
              <w:t>Design Doc revision.</w:t>
            </w:r>
          </w:p>
        </w:tc>
      </w:tr>
    </w:tbl>
    <w:p w:rsidR="00142DAB" w:rsidRDefault="00C63C6D">
      <w:pPr>
        <w:pStyle w:val="Heading1"/>
        <w:pBdr>
          <w:bottom w:val="single" w:sz="8" w:space="4" w:color="1F3864"/>
        </w:pBdr>
      </w:pPr>
      <w:r>
        <w:lastRenderedPageBreak/>
        <w:t>4. Source Initialization Manifest</w:t>
      </w:r>
    </w:p>
    <w:p w:rsidR="00142DAB" w:rsidRDefault="00C63C6D">
      <w:pPr>
        <w:spacing w:before="80" w:after="80"/>
      </w:pPr>
      <w:r>
        <w:t xml:space="preserve">The Supervisor Agent locks a source manifest at pipeline initialization. </w:t>
      </w:r>
      <w:proofErr w:type="gramStart"/>
      <w:r>
        <w:t>This manifest records</w:t>
      </w:r>
      <w:proofErr w:type="gramEnd"/>
      <w:r>
        <w:t xml:space="preserve"> exactly which sources, at which versions, are in scope for this run. Any source not on the manifest is out-of-scope for the duration of the run. Mid-run manifest</w:t>
      </w:r>
      <w:r>
        <w:t xml:space="preserve"> changes are not permitted. See §16 for the contract lock and change protocol.</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544"/>
        <w:gridCol w:w="1344"/>
        <w:gridCol w:w="1643"/>
        <w:gridCol w:w="1718"/>
        <w:gridCol w:w="1481"/>
      </w:tblGrid>
      <w:tr w:rsidR="00142DAB">
        <w:tblPrEx>
          <w:tblCellMar>
            <w:top w:w="0" w:type="dxa"/>
            <w:bottom w:w="0" w:type="dxa"/>
          </w:tblCellMar>
        </w:tblPrEx>
        <w:tc>
          <w:tcPr>
            <w:tcW w:w="1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ID</w:t>
            </w:r>
          </w:p>
        </w:tc>
        <w:tc>
          <w:tcPr>
            <w:tcW w:w="1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NAME</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w:t>
            </w:r>
          </w:p>
        </w:tc>
        <w:tc>
          <w:tcPr>
            <w:tcW w:w="1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CONFIRMED BY (ROLE)</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CONFIRMATION TIMESTAMP</w:t>
            </w:r>
          </w:p>
        </w:tc>
        <w:tc>
          <w:tcPr>
            <w:tcW w:w="13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STATUS</w:t>
            </w:r>
          </w:p>
        </w:tc>
      </w:tr>
      <w:tr w:rsidR="00142DAB">
        <w:tblPrEx>
          <w:tblCellMar>
            <w:top w:w="0" w:type="dxa"/>
            <w:bottom w:w="0" w:type="dxa"/>
          </w:tblCellMar>
        </w:tblPrEx>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ISP-001</w:t>
            </w:r>
          </w:p>
        </w:tc>
        <w:tc>
          <w:tcPr>
            <w:tcW w:w="1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Policy v4.2</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4.2</w:t>
            </w:r>
          </w:p>
        </w:tc>
        <w:tc>
          <w:tcPr>
            <w:tcW w:w="1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(K. Whitfield)</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[to be confirmed]</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BF8F00"/>
                <w:sz w:val="18"/>
                <w:szCs w:val="18"/>
              </w:rPr>
              <w:t>PROVISIONAL</w:t>
            </w:r>
          </w:p>
        </w:tc>
      </w:tr>
      <w:tr w:rsidR="00142DAB">
        <w:tblPrEx>
          <w:tblCellMar>
            <w:top w:w="0" w:type="dxa"/>
            <w:bottom w:w="0" w:type="dxa"/>
          </w:tblCellMar>
        </w:tblPrEx>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DPA-TM-001</w:t>
            </w:r>
          </w:p>
        </w:tc>
        <w:tc>
          <w:tcPr>
            <w:tcW w:w="1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v2.1</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2.1</w:t>
            </w:r>
          </w:p>
        </w:tc>
        <w:tc>
          <w:tcPr>
            <w:tcW w:w="1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(General Counsel)</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[to be confirmed]</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BF8F00"/>
                <w:sz w:val="18"/>
                <w:szCs w:val="18"/>
              </w:rPr>
              <w:t>PROVISIONAL</w:t>
            </w:r>
          </w:p>
        </w:tc>
      </w:tr>
      <w:tr w:rsidR="00142DAB">
        <w:tblPrEx>
          <w:tblCellMar>
            <w:top w:w="0" w:type="dxa"/>
            <w:bottom w:w="0" w:type="dxa"/>
          </w:tblCellMar>
        </w:tblPrEx>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PAM-001</w:t>
            </w:r>
          </w:p>
        </w:tc>
        <w:tc>
          <w:tcPr>
            <w:tcW w:w="1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Approval Matrix v3.0</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3.0</w:t>
            </w:r>
          </w:p>
        </w:tc>
        <w:tc>
          <w:tcPr>
            <w:tcW w:w="1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(Director)</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[to be confirmed]</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BF8F00"/>
                <w:sz w:val="18"/>
                <w:szCs w:val="18"/>
              </w:rPr>
              <w:t>PROVISIONAL</w:t>
            </w:r>
          </w:p>
        </w:tc>
      </w:tr>
      <w:tr w:rsidR="00142DAB">
        <w:tblPrEx>
          <w:tblCellMar>
            <w:top w:w="0" w:type="dxa"/>
            <w:bottom w:w="0" w:type="dxa"/>
          </w:tblCellMar>
        </w:tblPrEx>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1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OptiChain</w:t>
            </w:r>
            <w:proofErr w:type="spellEnd"/>
            <w:r>
              <w:rPr>
                <w:sz w:val="19"/>
                <w:szCs w:val="19"/>
              </w:rPr>
              <w:t xml:space="preserve"> Vendor Questionnaire</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Submission rev. 1</w:t>
            </w:r>
          </w:p>
        </w:tc>
        <w:tc>
          <w:tcPr>
            <w:tcW w:w="1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(Intake)</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[on submission]</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595959"/>
                <w:sz w:val="18"/>
                <w:szCs w:val="18"/>
              </w:rPr>
              <w:t>PENDING</w:t>
            </w:r>
          </w:p>
        </w:tc>
      </w:tr>
      <w:tr w:rsidR="00142DAB">
        <w:tblPrEx>
          <w:tblCellMar>
            <w:top w:w="0" w:type="dxa"/>
            <w:bottom w:w="0" w:type="dxa"/>
          </w:tblCellMar>
        </w:tblPrEx>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PVD-001</w:t>
            </w:r>
          </w:p>
        </w:tc>
        <w:tc>
          <w:tcPr>
            <w:tcW w:w="1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Prior Vendor Decisions / Precedent Log</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Current at </w:t>
            </w:r>
            <w:proofErr w:type="spellStart"/>
            <w:r>
              <w:rPr>
                <w:sz w:val="19"/>
                <w:szCs w:val="19"/>
              </w:rPr>
              <w:t>init.</w:t>
            </w:r>
            <w:proofErr w:type="spellEnd"/>
          </w:p>
        </w:tc>
        <w:tc>
          <w:tcPr>
            <w:tcW w:w="1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Arch. / Platform</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[at initialization]</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375623"/>
                <w:sz w:val="18"/>
                <w:szCs w:val="18"/>
              </w:rPr>
              <w:t>CONFIRMED</w:t>
            </w:r>
          </w:p>
        </w:tc>
      </w:tr>
      <w:tr w:rsidR="00142DAB">
        <w:tblPrEx>
          <w:tblCellMar>
            <w:top w:w="0" w:type="dxa"/>
            <w:bottom w:w="0" w:type="dxa"/>
          </w:tblCellMar>
        </w:tblPrEx>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SLK-001</w:t>
            </w:r>
          </w:p>
        </w:tc>
        <w:tc>
          <w:tcPr>
            <w:tcW w:w="1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Slack / Meeting Thread Notes</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Export at </w:t>
            </w:r>
            <w:proofErr w:type="spellStart"/>
            <w:r>
              <w:rPr>
                <w:sz w:val="19"/>
                <w:szCs w:val="19"/>
              </w:rPr>
              <w:t>init.</w:t>
            </w:r>
            <w:proofErr w:type="spellEnd"/>
          </w:p>
        </w:tc>
        <w:tc>
          <w:tcPr>
            <w:tcW w:w="1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[at initialization]</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8"/>
                <w:szCs w:val="18"/>
              </w:rPr>
              <w:t>CONFIRMED</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blPrEx>
          <w:tblCellMar>
            <w:top w:w="0" w:type="dxa"/>
            <w:bottom w:w="0" w:type="dxa"/>
          </w:tblCellMar>
        </w:tblPrEx>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PROVISIONAL INITIALIZATION:  </w:t>
            </w:r>
            <w:r>
              <w:t xml:space="preserve">Any source with </w:t>
            </w:r>
            <w:proofErr w:type="spellStart"/>
            <w:r>
              <w:t>manifest_status</w:t>
            </w:r>
            <w:proofErr w:type="spellEnd"/>
            <w:r>
              <w:t xml:space="preserve"> = PROVISIONAL causes all determinations that depend on that source to carry a PROVISIONAL evidence flag. The PROVISIONAL flag propagates through the evidence chain, not the workflow chain. Workflow routing behavior in respon</w:t>
            </w:r>
            <w:r>
              <w:t>se to PROVISIONAL flags is governed by the Design Doc (§10) and Agent Spec.</w:t>
            </w:r>
          </w:p>
        </w:tc>
      </w:tr>
    </w:tbl>
    <w:p w:rsidR="00142DAB" w:rsidRDefault="00C63C6D">
      <w:pPr>
        <w:pStyle w:val="Heading1"/>
        <w:pBdr>
          <w:bottom w:val="single" w:sz="8" w:space="4" w:color="1F3864"/>
        </w:pBdr>
      </w:pPr>
      <w:r>
        <w:t>5. Source Authority Hierarchy</w:t>
      </w:r>
    </w:p>
    <w:p w:rsidR="00142DAB" w:rsidRDefault="00C63C6D">
      <w:pPr>
        <w:spacing w:before="80" w:after="80"/>
      </w:pPr>
      <w:r>
        <w:t>Sources are ranked into four authority tiers. When a retrieval bundle includes evidence from multiple tiers, higher-tier evidence takes precedence over lower-tier evidence for all determinations. Agents may not cite a lower-tier source as a primary citatio</w:t>
      </w:r>
      <w:r>
        <w:t>n when a higher-tier source addresses the same question.</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142DAB">
        <w:tblPrEx>
          <w:tblCellMar>
            <w:top w:w="0" w:type="dxa"/>
            <w:bottom w:w="0" w:type="dxa"/>
          </w:tblCellMar>
        </w:tblPrEx>
        <w:tc>
          <w:tcPr>
            <w:tcW w:w="33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AUTHORITY TIER</w:t>
            </w:r>
          </w:p>
        </w:tc>
        <w:tc>
          <w:tcPr>
            <w:tcW w:w="60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SOURCES INCLUDED</w:t>
            </w:r>
          </w:p>
        </w:tc>
      </w:tr>
      <w:tr w:rsidR="00142DAB">
        <w:tblPrEx>
          <w:tblCellMar>
            <w:top w:w="0" w:type="dxa"/>
            <w:bottom w:w="0" w:type="dxa"/>
          </w:tblCellMar>
        </w:tblPrEx>
        <w:tc>
          <w:tcPr>
            <w:tcW w:w="3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1 — Formal Governing Sources (Override all lower tiers)</w:t>
            </w:r>
          </w:p>
        </w:tc>
        <w:tc>
          <w:tcPr>
            <w:tcW w:w="6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IT Security Policy v4.2 (ISP-001) DPA Legal Trigger Matrix (DPA-TM-001) </w:t>
            </w:r>
            <w:r>
              <w:rPr>
                <w:sz w:val="19"/>
                <w:szCs w:val="19"/>
              </w:rPr>
              <w:t>Procurement Approval Matrix (PAM-001)</w:t>
            </w:r>
          </w:p>
        </w:tc>
      </w:tr>
      <w:tr w:rsidR="00142DAB">
        <w:tblPrEx>
          <w:tblCellMar>
            <w:top w:w="0" w:type="dxa"/>
            <w:bottom w:w="0" w:type="dxa"/>
          </w:tblCellMar>
        </w:tblPrEx>
        <w:tc>
          <w:tcPr>
            <w:tcW w:w="3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2 — Structured Intake (Factual record; does not override Tier 1)</w:t>
            </w:r>
          </w:p>
        </w:tc>
        <w:tc>
          <w:tcPr>
            <w:tcW w:w="6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OptiChain</w:t>
            </w:r>
            <w:proofErr w:type="spellEnd"/>
            <w:r>
              <w:rPr>
                <w:sz w:val="19"/>
                <w:szCs w:val="19"/>
              </w:rPr>
              <w:t xml:space="preserve"> Vendor Questionnaire (VQ-OC-001)</w:t>
            </w:r>
          </w:p>
        </w:tc>
      </w:tr>
      <w:tr w:rsidR="00142DAB">
        <w:tblPrEx>
          <w:tblCellMar>
            <w:top w:w="0" w:type="dxa"/>
            <w:bottom w:w="0" w:type="dxa"/>
          </w:tblCellMar>
        </w:tblPrEx>
        <w:tc>
          <w:tcPr>
            <w:tcW w:w="3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Tier 3 — Governed Precedent (Supplementary; informs but does not override Tier 1)</w:t>
            </w:r>
          </w:p>
        </w:tc>
        <w:tc>
          <w:tcPr>
            <w:tcW w:w="6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Prior Vendor Decisions / Precedent Log (PVD-001)</w:t>
            </w:r>
          </w:p>
        </w:tc>
      </w:tr>
      <w:tr w:rsidR="00142DAB">
        <w:tblPrEx>
          <w:tblCellMar>
            <w:top w:w="0" w:type="dxa"/>
            <w:bottom w:w="0" w:type="dxa"/>
          </w:tblCellMar>
        </w:tblPrEx>
        <w:tc>
          <w:tcPr>
            <w:tcW w:w="3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4 — Low-Authority Supplemental (Never primary citation; suppressed on any conflict with Tier 1–3)</w:t>
            </w:r>
          </w:p>
        </w:tc>
        <w:tc>
          <w:tcPr>
            <w:tcW w:w="6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Slack / Meeting Thread Notes (SLK-001)</w:t>
            </w:r>
          </w:p>
        </w:tc>
      </w:tr>
    </w:tbl>
    <w:p w:rsidR="00142DAB" w:rsidRDefault="00142DAB">
      <w:pPr>
        <w:spacing w:before="100" w:after="100"/>
      </w:pPr>
    </w:p>
    <w:p w:rsidR="00142DAB" w:rsidRDefault="00C63C6D">
      <w:pPr>
        <w:pStyle w:val="Heading2"/>
      </w:pPr>
      <w:r>
        <w:t>5.1 Conflict Resolution Protocol</w:t>
      </w:r>
    </w:p>
    <w:p w:rsidR="00142DAB" w:rsidRDefault="00C63C6D">
      <w:pPr>
        <w:spacing w:before="80" w:after="80"/>
      </w:pPr>
      <w:r>
        <w:t>The table below governs how evidence conflicts are resolved. Note that BLOCKED and ESCALATED are used per the convention in §3.2.</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3881"/>
        <w:gridCol w:w="3334"/>
      </w:tblGrid>
      <w:tr w:rsidR="00142DAB">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CONFLICT TYPE</w:t>
            </w:r>
          </w:p>
        </w:tc>
        <w:tc>
          <w:tcPr>
            <w:tcW w:w="3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RESOLUTION RULE</w:t>
            </w:r>
          </w:p>
        </w:tc>
        <w:tc>
          <w:tcPr>
            <w:tcW w:w="3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ESCALATION / BLOCKED CONVENTION</w:t>
            </w:r>
          </w:p>
        </w:tc>
      </w:tr>
      <w:tr w:rsidR="00142DAB">
        <w:tblPrEx>
          <w:tblCellMar>
            <w:top w:w="0" w:type="dxa"/>
            <w:bottom w:w="0" w:type="dxa"/>
          </w:tblCellMar>
        </w:tblPrEx>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4 conflicts with Tier 1, 2, or 3</w:t>
            </w:r>
          </w:p>
        </w:tc>
        <w:tc>
          <w:tcPr>
            <w:tcW w:w="3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Suppress Tier 4 source f</w:t>
            </w:r>
            <w:r>
              <w:rPr>
                <w:sz w:val="19"/>
                <w:szCs w:val="19"/>
              </w:rPr>
              <w:t>rom bundle; log suppression in retrieval manifest with reason: AUTHORITY_SUPPRESSED; proceed with higher-tier evidence</w:t>
            </w:r>
          </w:p>
        </w:tc>
        <w:tc>
          <w:tcPr>
            <w:tcW w:w="3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No escalation — automatic suppression. No workflow </w:t>
            </w:r>
            <w:proofErr w:type="gramStart"/>
            <w:r>
              <w:rPr>
                <w:sz w:val="19"/>
                <w:szCs w:val="19"/>
              </w:rPr>
              <w:t>impact</w:t>
            </w:r>
            <w:proofErr w:type="gramEnd"/>
            <w:r>
              <w:rPr>
                <w:sz w:val="19"/>
                <w:szCs w:val="19"/>
              </w:rPr>
              <w:t>.</w:t>
            </w:r>
          </w:p>
        </w:tc>
      </w:tr>
      <w:tr w:rsidR="00142DAB">
        <w:tblPrEx>
          <w:tblCellMar>
            <w:top w:w="0" w:type="dxa"/>
            <w:bottom w:w="0" w:type="dxa"/>
          </w:tblCellMar>
        </w:tblPrEx>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4 thread A conflicts with Tier 4 thread B</w:t>
            </w:r>
          </w:p>
        </w:tc>
        <w:tc>
          <w:tcPr>
            <w:tcW w:w="3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Suppress both conflicting threads from bundle; log both suppressions</w:t>
            </w:r>
          </w:p>
        </w:tc>
        <w:tc>
          <w:tcPr>
            <w:tcW w:w="3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escalation unless Tier 4 is the only available evidence on the point. If so: determination is PROVISIONAL.</w:t>
            </w:r>
          </w:p>
        </w:tc>
      </w:tr>
      <w:tr w:rsidR="00142DAB">
        <w:tblPrEx>
          <w:tblCellMar>
            <w:top w:w="0" w:type="dxa"/>
            <w:bottom w:w="0" w:type="dxa"/>
          </w:tblCellMar>
        </w:tblPrEx>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3 conflicts with Tier 1</w:t>
            </w:r>
          </w:p>
        </w:tc>
        <w:tc>
          <w:tcPr>
            <w:tcW w:w="3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Override: Tier 1 is operative; Tier 3 is contextual only. Log the discrepancy in the retrieval manifest.</w:t>
            </w:r>
          </w:p>
        </w:tc>
        <w:tc>
          <w:tcPr>
            <w:tcW w:w="3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 escalation — automatic override. Note the conflict in the determination output.</w:t>
            </w:r>
          </w:p>
        </w:tc>
      </w:tr>
      <w:tr w:rsidR="00142DAB">
        <w:tblPrEx>
          <w:tblCellMar>
            <w:top w:w="0" w:type="dxa"/>
            <w:bottom w:w="0" w:type="dxa"/>
          </w:tblCellMar>
        </w:tblPrEx>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3 conflicts with Tier 2 (precedent vs. questionnaire field)</w:t>
            </w:r>
          </w:p>
        </w:tc>
        <w:tc>
          <w:tcPr>
            <w:tcW w:w="3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Questionnaire field (Tier 2) is the operative fact. Precedent is contextual.</w:t>
            </w:r>
          </w:p>
        </w:tc>
        <w:tc>
          <w:tcPr>
            <w:tcW w:w="3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escalation — automatic. Log in retrieval manifest.</w:t>
            </w:r>
          </w:p>
        </w:tc>
      </w:tr>
      <w:tr w:rsidR="00142DAB">
        <w:tblPrEx>
          <w:tblCellMar>
            <w:top w:w="0" w:type="dxa"/>
            <w:bottom w:w="0" w:type="dxa"/>
          </w:tblCellMar>
        </w:tblPrEx>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1 source A conflicts with Tier 1 source B (e.g., policy clause vs. matrix row)</w:t>
            </w:r>
          </w:p>
        </w:tc>
        <w:tc>
          <w:tcPr>
            <w:tcW w:w="3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Neither source is suppressed. Both must be cited in the evidence payload.</w:t>
            </w:r>
          </w:p>
        </w:tc>
        <w:tc>
          <w:tcPr>
            <w:tcW w:w="3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workflow_state</w:t>
            </w:r>
            <w:proofErr w:type="spellEnd"/>
            <w:r>
              <w:rPr>
                <w:sz w:val="19"/>
                <w:szCs w:val="19"/>
              </w:rPr>
              <w:t xml:space="preserve"> = BLOCKED (affected determination cannot resolve) </w:t>
            </w:r>
            <w:proofErr w:type="spellStart"/>
            <w:r>
              <w:rPr>
                <w:sz w:val="19"/>
                <w:szCs w:val="19"/>
              </w:rPr>
              <w:t>resolution_mode</w:t>
            </w:r>
            <w:proofErr w:type="spellEnd"/>
            <w:r>
              <w:rPr>
                <w:sz w:val="19"/>
                <w:szCs w:val="19"/>
              </w:rPr>
              <w:t xml:space="preserve"> = ESCALATED_TO</w:t>
            </w:r>
            <w:proofErr w:type="gramStart"/>
            <w:r>
              <w:rPr>
                <w:sz w:val="19"/>
                <w:szCs w:val="19"/>
              </w:rPr>
              <w:t>_[</w:t>
            </w:r>
            <w:proofErr w:type="gramEnd"/>
            <w:r>
              <w:rPr>
                <w:sz w:val="19"/>
                <w:szCs w:val="19"/>
              </w:rPr>
              <w:t>both domain owners]</w:t>
            </w:r>
          </w:p>
        </w:tc>
      </w:tr>
      <w:tr w:rsidR="00142DAB">
        <w:tblPrEx>
          <w:tblCellMar>
            <w:top w:w="0" w:type="dxa"/>
            <w:bottom w:w="0" w:type="dxa"/>
          </w:tblCellMar>
        </w:tblPrEx>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Multiple questionnaire versions detected</w:t>
            </w:r>
          </w:p>
        </w:tc>
        <w:tc>
          <w:tcPr>
            <w:tcW w:w="3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version may be used until authoritative version is selected.</w:t>
            </w:r>
          </w:p>
        </w:tc>
        <w:tc>
          <w:tcPr>
            <w:tcW w:w="3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workflow_state</w:t>
            </w:r>
            <w:proofErr w:type="spellEnd"/>
            <w:r>
              <w:rPr>
                <w:sz w:val="19"/>
                <w:szCs w:val="19"/>
              </w:rPr>
              <w:t xml:space="preserve"> = BLOCKED (all downstream steps) </w:t>
            </w:r>
            <w:proofErr w:type="spellStart"/>
            <w:r>
              <w:rPr>
                <w:sz w:val="19"/>
                <w:szCs w:val="19"/>
              </w:rPr>
              <w:t>resolution_mode</w:t>
            </w:r>
            <w:proofErr w:type="spellEnd"/>
            <w:r>
              <w:rPr>
                <w:sz w:val="19"/>
                <w:szCs w:val="19"/>
              </w:rPr>
              <w:t xml:space="preserve"> = ESCALATED_TO_PROCUREMENT</w:t>
            </w:r>
          </w:p>
        </w:tc>
      </w:tr>
    </w:tbl>
    <w:p w:rsidR="00142DAB" w:rsidRDefault="00C63C6D">
      <w:pPr>
        <w:pStyle w:val="Heading1"/>
        <w:pBdr>
          <w:bottom w:val="single" w:sz="8" w:space="4" w:color="1F3864"/>
        </w:pBdr>
      </w:pPr>
      <w:r>
        <w:t>6. Retrieval Method per Source</w:t>
      </w:r>
    </w:p>
    <w:p w:rsidR="00142DAB" w:rsidRDefault="00C63C6D">
      <w:pPr>
        <w:spacing w:before="80" w:after="80"/>
      </w:pPr>
      <w:r>
        <w:t>Each source has a designated retrieval lane and chunking strategy. Agents may not retrieve a source through a different lane than the one defined here.</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2600"/>
        <w:gridCol w:w="3060"/>
      </w:tblGrid>
      <w:tr w:rsidR="00142DAB">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w:t>
            </w:r>
          </w:p>
        </w:tc>
        <w:tc>
          <w:tcPr>
            <w:tcW w:w="1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RETRIEVAL LANE</w:t>
            </w:r>
          </w:p>
        </w:tc>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CHUNKING STRATEGY</w:t>
            </w:r>
          </w:p>
        </w:tc>
        <w:tc>
          <w:tcPr>
            <w:tcW w:w="30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NOTES</w:t>
            </w:r>
          </w:p>
        </w:tc>
      </w:tr>
      <w:tr w:rsidR="00142DAB">
        <w:tblPrEx>
          <w:tblCellMar>
            <w:top w:w="0" w:type="dxa"/>
            <w:bottom w:w="0" w:type="dxa"/>
          </w:tblCellMar>
        </w:tblPrEx>
        <w:tc>
          <w:tcPr>
            <w:tcW w:w="1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IT Security Policy v4.2 (ISP-001)</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Indexed: hybrid dense vector + BM25</w:t>
            </w:r>
          </w:p>
        </w:tc>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Section-boundary chunking on numbered headings; preserves clause identifiers</w:t>
            </w:r>
          </w:p>
        </w:tc>
        <w:tc>
          <w:tcPr>
            <w:tcW w:w="3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BM25 handles exact clause IDs (e.g., §12.2.1); dense search handles semantic variants. Cross-encoder re-rank applied post-fusion.</w:t>
            </w:r>
          </w:p>
        </w:tc>
      </w:tr>
      <w:tr w:rsidR="00142DAB">
        <w:tblPrEx>
          <w:tblCellMar>
            <w:top w:w="0" w:type="dxa"/>
            <w:bottom w:w="0" w:type="dxa"/>
          </w:tblCellMar>
        </w:tblPrEx>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(DPA-TM-001)</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Indexed: hybrid dense vector + BM25, row-targeted</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Row-level chunking; each row = one atomic chunk; column headers embedded in each chunk</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Row structure is preserved during </w:t>
            </w:r>
            <w:proofErr w:type="gramStart"/>
            <w:r>
              <w:rPr>
                <w:sz w:val="19"/>
                <w:szCs w:val="19"/>
              </w:rPr>
              <w:t>chunking</w:t>
            </w:r>
            <w:proofErr w:type="gramEnd"/>
            <w:r>
              <w:rPr>
                <w:sz w:val="19"/>
                <w:szCs w:val="19"/>
              </w:rPr>
              <w:t xml:space="preserve"> so rows remain interpretable as comple</w:t>
            </w:r>
            <w:r>
              <w:rPr>
                <w:sz w:val="19"/>
                <w:szCs w:val="19"/>
              </w:rPr>
              <w:t>te decision units. "Row-targeted" means queries are issued to retrieve specific rows by trigger condition, using the same hybrid index.</w:t>
            </w:r>
          </w:p>
        </w:tc>
      </w:tr>
      <w:tr w:rsidR="00142DAB">
        <w:tblPrEx>
          <w:tblCellMar>
            <w:top w:w="0" w:type="dxa"/>
            <w:bottom w:w="0" w:type="dxa"/>
          </w:tblCellMar>
        </w:tblPrEx>
        <w:tc>
          <w:tcPr>
            <w:tcW w:w="1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Approval Matrix (PAM-001)</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Indexed: hybrid dense vector + BM25, row-targeted</w:t>
            </w:r>
          </w:p>
        </w:tc>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Row-level chunking; same as DPA matrix</w:t>
            </w:r>
          </w:p>
        </w:tc>
        <w:tc>
          <w:tcPr>
            <w:tcW w:w="3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Same row-preservation approach. Row structure must survive chunking. Eligible for structured lookup upgrade in a future version.</w:t>
            </w:r>
          </w:p>
        </w:tc>
      </w:tr>
      <w:tr w:rsidR="00142DAB">
        <w:tblPrEx>
          <w:tblCellMar>
            <w:top w:w="0" w:type="dxa"/>
            <w:bottom w:w="0" w:type="dxa"/>
          </w:tblCellMar>
        </w:tblPrEx>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Vendor Questionnaire (VQ-OC-001)</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Direct structured access — JSON field lookup by key</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chunking. Ingested as a single structured JSON object at intake.</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Fields are read by canonical key name (see §14), not by similarity search. Never embedded or indexed.</w:t>
            </w:r>
          </w:p>
        </w:tc>
      </w:tr>
      <w:tr w:rsidR="00142DAB">
        <w:tblPrEx>
          <w:tblCellMar>
            <w:top w:w="0" w:type="dxa"/>
            <w:bottom w:w="0" w:type="dxa"/>
          </w:tblCellMar>
        </w:tblPrEx>
        <w:tc>
          <w:tcPr>
            <w:tcW w:w="1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Prior Vendor Decisions (PVD-001)</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Indexed: hybrid dense vector + BM25 with metadata filtering</w:t>
            </w:r>
          </w:p>
        </w:tc>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Record-level chunking; one prior decision = one chunk with domain metadata tag</w:t>
            </w:r>
          </w:p>
        </w:tc>
        <w:tc>
          <w:tcPr>
            <w:tcW w:w="3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Domain-scoped at access time (security decisions to Security Agent, etc.). Treat as Tier 3.</w:t>
            </w:r>
          </w:p>
        </w:tc>
      </w:tr>
      <w:tr w:rsidR="00142DAB">
        <w:tblPrEx>
          <w:tblCellMar>
            <w:top w:w="0" w:type="dxa"/>
            <w:bottom w:w="0" w:type="dxa"/>
          </w:tblCellMar>
        </w:tblPrEx>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Slack / Meeting Notes (SLK-001)</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Indexed: hybrid dense vector + BM25</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Thread-level chunking; one thread = one chunk</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Authority cap applied at re-rank stage regardless of similarity score. Procurement-scoped threads only. Never primary citation.</w:t>
            </w:r>
          </w:p>
        </w:tc>
      </w:tr>
      <w:tr w:rsidR="00142DAB">
        <w:tblPrEx>
          <w:tblCellMar>
            <w:top w:w="0" w:type="dxa"/>
            <w:bottom w:w="0" w:type="dxa"/>
          </w:tblCellMar>
        </w:tblPrEx>
        <w:tc>
          <w:tcPr>
            <w:tcW w:w="1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Checklist / pipeline state / audit log</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Non-retrieval: assembled runtime state</w:t>
            </w:r>
          </w:p>
        </w:tc>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chunked; not indexed</w:t>
            </w:r>
          </w:p>
        </w:tc>
        <w:tc>
          <w:tcPr>
            <w:tcW w:w="3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These are outputs and state objects, not knowledge sources. Never embedded, indexed, or retrieved.</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blPrEx>
          <w:tblCellMar>
            <w:top w:w="0" w:type="dxa"/>
            <w:bottom w:w="0" w:type="dxa"/>
          </w:tblCellMar>
        </w:tblPrEx>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MATRIX RETRIEVAL NOTE:  </w:t>
            </w:r>
            <w:r>
              <w:t>Matrices are retrieved through the hybrid index using row-targeted queries — not through a separate structured-lookup backend. "Structured" in this context means that row integrity is preserved during chunking so that each retrieved chunk represents a comp</w:t>
            </w:r>
            <w:r>
              <w:t>lete, interpretable row. The retrieval mechanism remains hybrid dense + BM25.</w:t>
            </w:r>
          </w:p>
        </w:tc>
      </w:tr>
    </w:tbl>
    <w:p w:rsidR="00142DAB" w:rsidRDefault="00142DAB">
      <w:pPr>
        <w:spacing w:before="100" w:after="100"/>
      </w:pPr>
    </w:p>
    <w:p w:rsidR="00142DAB" w:rsidRDefault="00C63C6D">
      <w:pPr>
        <w:pStyle w:val="Heading2"/>
      </w:pPr>
      <w:r>
        <w:t>6.1 Retrieval Endpoint Permissions</w:t>
      </w:r>
    </w:p>
    <w:p w:rsidR="00142DAB" w:rsidRDefault="00C63C6D">
      <w:pPr>
        <w:spacing w:before="80" w:after="80"/>
      </w:pPr>
      <w:r>
        <w:t>Retrieval endpoint permissions define which index endpoints each agent is authorized to query at the infrastructure level. This is an architectural constraint (Design Doc §8), not a behavioral guideline. An agent that attempts to query an index it is not a</w:t>
      </w:r>
      <w:r>
        <w:t>uthorized to access must fail closed; the attempt is logged per §13.2.</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1239"/>
        <w:gridCol w:w="1057"/>
        <w:gridCol w:w="1729"/>
        <w:gridCol w:w="1482"/>
        <w:gridCol w:w="1574"/>
      </w:tblGrid>
      <w:tr w:rsidR="00142DAB">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lastRenderedPageBreak/>
              <w:t>INDEX ENDPOINT</w:t>
            </w:r>
          </w:p>
        </w:tc>
        <w:tc>
          <w:tcPr>
            <w:tcW w:w="13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IT SECURITY AGENT</w:t>
            </w:r>
          </w:p>
        </w:tc>
        <w:tc>
          <w:tcPr>
            <w:tcW w:w="13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LEGAL AGENT</w:t>
            </w:r>
          </w:p>
        </w:tc>
        <w:tc>
          <w:tcPr>
            <w:tcW w:w="13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PROCUREMENT AGENT</w:t>
            </w:r>
          </w:p>
        </w:tc>
        <w:tc>
          <w:tcPr>
            <w:tcW w:w="1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CHECKLIST ASSEMBLER</w:t>
            </w:r>
          </w:p>
        </w:tc>
        <w:tc>
          <w:tcPr>
            <w:tcW w:w="1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CHECKOFF AGENT</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idx_security_policy</w:t>
            </w:r>
            <w:proofErr w:type="spellEnd"/>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375623"/>
                <w:sz w:val="19"/>
                <w:szCs w:val="19"/>
              </w:rPr>
              <w:t>✓</w:t>
            </w:r>
            <w:r>
              <w:rPr>
                <w:b/>
                <w:bCs/>
                <w:color w:val="375623"/>
                <w:sz w:val="19"/>
                <w:szCs w:val="19"/>
              </w:rPr>
              <w:t xml:space="preserve"> Full</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w:t>
            </w:r>
            <w:r>
              <w:rPr>
                <w:color w:val="2E5FA3"/>
                <w:sz w:val="19"/>
                <w:szCs w:val="19"/>
              </w:rPr>
              <w:t xml:space="preserve"> Read-only</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w:t>
            </w:r>
            <w:r>
              <w:rPr>
                <w:color w:val="2E5FA3"/>
                <w:sz w:val="19"/>
                <w:szCs w:val="19"/>
              </w:rPr>
              <w:t xml:space="preserve"> Read-only</w:t>
            </w:r>
          </w:p>
        </w:tc>
        <w:tc>
          <w:tcPr>
            <w:tcW w:w="1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idx_dpa_matrix</w:t>
            </w:r>
            <w:proofErr w:type="spellEnd"/>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w:t>
            </w:r>
            <w:r>
              <w:rPr>
                <w:b/>
                <w:bCs/>
                <w:color w:val="375623"/>
                <w:sz w:val="19"/>
                <w:szCs w:val="19"/>
              </w:rPr>
              <w:t xml:space="preserve"> Full</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idx_procurement_matrix</w:t>
            </w:r>
            <w:proofErr w:type="spellEnd"/>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375623"/>
                <w:sz w:val="19"/>
                <w:szCs w:val="19"/>
              </w:rPr>
              <w:t>✓</w:t>
            </w:r>
            <w:r>
              <w:rPr>
                <w:b/>
                <w:bCs/>
                <w:color w:val="375623"/>
                <w:sz w:val="19"/>
                <w:szCs w:val="19"/>
              </w:rPr>
              <w:t xml:space="preserve"> Full</w:t>
            </w:r>
          </w:p>
        </w:tc>
        <w:tc>
          <w:tcPr>
            <w:tcW w:w="1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vq_direct_access</w:t>
            </w:r>
            <w:proofErr w:type="spellEnd"/>
            <w:r>
              <w:rPr>
                <w:sz w:val="19"/>
                <w:szCs w:val="19"/>
              </w:rPr>
              <w:t xml:space="preserve"> (structured)</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w:t>
            </w:r>
            <w:r>
              <w:rPr>
                <w:b/>
                <w:bCs/>
                <w:color w:val="375623"/>
                <w:sz w:val="19"/>
                <w:szCs w:val="19"/>
              </w:rPr>
              <w:t xml:space="preserve"> Full</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w:t>
            </w:r>
            <w:r>
              <w:rPr>
                <w:b/>
                <w:bCs/>
                <w:color w:val="375623"/>
                <w:sz w:val="19"/>
                <w:szCs w:val="19"/>
              </w:rPr>
              <w:t xml:space="preserve"> Full</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w:t>
            </w:r>
            <w:r>
              <w:rPr>
                <w:b/>
                <w:bCs/>
                <w:color w:val="375623"/>
                <w:sz w:val="19"/>
                <w:szCs w:val="19"/>
              </w:rPr>
              <w:t xml:space="preserve"> Full</w:t>
            </w:r>
          </w:p>
        </w:tc>
        <w:tc>
          <w:tcPr>
            <w:tcW w:w="1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w:t>
            </w:r>
            <w:r>
              <w:rPr>
                <w:b/>
                <w:bCs/>
                <w:color w:val="375623"/>
                <w:sz w:val="19"/>
                <w:szCs w:val="19"/>
              </w:rPr>
              <w:t xml:space="preserve"> Full</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w:t>
            </w:r>
            <w:r>
              <w:rPr>
                <w:b/>
                <w:bCs/>
                <w:color w:val="375623"/>
                <w:sz w:val="19"/>
                <w:szCs w:val="19"/>
              </w:rPr>
              <w:t xml:space="preserve"> Full</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idx_precedents</w:t>
            </w:r>
            <w:proofErr w:type="spellEnd"/>
            <w:r>
              <w:rPr>
                <w:sz w:val="19"/>
                <w:szCs w:val="19"/>
              </w:rPr>
              <w:t xml:space="preserve"> (domain-scoped)</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w:t>
            </w:r>
            <w:r>
              <w:rPr>
                <w:color w:val="2E5FA3"/>
                <w:sz w:val="19"/>
                <w:szCs w:val="19"/>
              </w:rPr>
              <w:t xml:space="preserve"> Security scope only</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w:t>
            </w:r>
            <w:r>
              <w:rPr>
                <w:color w:val="2E5FA3"/>
                <w:sz w:val="19"/>
                <w:szCs w:val="19"/>
              </w:rPr>
              <w:t xml:space="preserve"> Legal scope only</w:t>
            </w:r>
          </w:p>
        </w:tc>
        <w:tc>
          <w:tcPr>
            <w:tcW w:w="1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w:t>
            </w:r>
            <w:r>
              <w:rPr>
                <w:color w:val="2E5FA3"/>
                <w:sz w:val="19"/>
                <w:szCs w:val="19"/>
              </w:rPr>
              <w:t xml:space="preserve"> Procurement scope only</w:t>
            </w:r>
          </w:p>
        </w:tc>
        <w:tc>
          <w:tcPr>
            <w:tcW w:w="1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idx_slack_notes</w:t>
            </w:r>
            <w:proofErr w:type="spellEnd"/>
            <w:r>
              <w:rPr>
                <w:sz w:val="19"/>
                <w:szCs w:val="19"/>
              </w:rPr>
              <w:t xml:space="preserve"> (Procurement-scoped)</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2E5FA3"/>
                <w:sz w:val="19"/>
                <w:szCs w:val="19"/>
              </w:rPr>
              <w:t>✓</w:t>
            </w:r>
            <w:r>
              <w:rPr>
                <w:color w:val="2E5FA3"/>
                <w:sz w:val="19"/>
                <w:szCs w:val="19"/>
              </w:rPr>
              <w:t xml:space="preserve"> Procurement threads only</w:t>
            </w:r>
          </w:p>
        </w:tc>
        <w:tc>
          <w:tcPr>
            <w:tcW w:w="1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i/>
                <w:iCs/>
                <w:color w:val="595959"/>
                <w:sz w:val="19"/>
                <w:szCs w:val="19"/>
              </w:rPr>
              <w:t>— Downstream-only; no index queries permitted</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blPrEx>
          <w:tblCellMar>
            <w:top w:w="0" w:type="dxa"/>
            <w:bottom w:w="0" w:type="dxa"/>
          </w:tblCellMar>
        </w:tblPrEx>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CHECKOFF AGENT ACCESS RULE:  </w:t>
            </w:r>
            <w:r>
              <w:t>The Checkoff Agent is downstream-only and may consume only assembled outputs, stakeholder-routing metadata, and audit-visible determination summaries. It has no independent evidence-discovery authority. It is explicitly prohibi</w:t>
            </w:r>
            <w:r>
              <w:t>ted from querying any index endpoint. This is an architectural constraint, not a behavioral guideline.</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blPrEx>
          <w:tblCellMar>
            <w:top w:w="0" w:type="dxa"/>
            <w:bottom w:w="0" w:type="dxa"/>
          </w:tblCellMar>
        </w:tblPrEx>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PRIVILEGED DOCUMENT EXCLUSION:  </w:t>
            </w:r>
            <w:r>
              <w:t>Attorney-client privileged communications are excluded from all indices. No index endpoint for privileged communications exists. This is an architectural constraint (Design Doc §8).</w:t>
            </w:r>
          </w:p>
        </w:tc>
      </w:tr>
    </w:tbl>
    <w:p w:rsidR="00142DAB" w:rsidRDefault="00C63C6D">
      <w:pPr>
        <w:pStyle w:val="Heading1"/>
        <w:pBdr>
          <w:bottom w:val="single" w:sz="8" w:space="4" w:color="1F3864"/>
        </w:pBdr>
      </w:pPr>
      <w:r>
        <w:t>7. Freshness &amp; Versioning Policy by Source Class</w:t>
      </w:r>
    </w:p>
    <w:p w:rsidR="00142DAB" w:rsidRDefault="00C63C6D">
      <w:pPr>
        <w:spacing w:before="80" w:after="80"/>
      </w:pPr>
      <w:r>
        <w:t>Freshness rules differ b</w:t>
      </w:r>
      <w:r>
        <w:t>y source class. A single blanket staleness rule is insufficient because static policy documents, dynamic intake records, and informal notes have fundamentally different update characteristics and risk profiles.</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3001"/>
        <w:gridCol w:w="1278"/>
        <w:gridCol w:w="1381"/>
        <w:gridCol w:w="1417"/>
        <w:gridCol w:w="1769"/>
      </w:tblGrid>
      <w:tr w:rsidR="00142DAB">
        <w:tblPrEx>
          <w:tblCellMar>
            <w:top w:w="0" w:type="dxa"/>
            <w:bottom w:w="0" w:type="dxa"/>
          </w:tblCellMar>
        </w:tblPrEx>
        <w:tc>
          <w:tcPr>
            <w:tcW w:w="17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CLASS</w:t>
            </w:r>
          </w:p>
        </w:tc>
        <w:tc>
          <w:tcPr>
            <w:tcW w:w="1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 PINNING</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RUN-TIME REFRES</w:t>
            </w:r>
            <w:r>
              <w:rPr>
                <w:b/>
                <w:bCs/>
                <w:color w:val="FFFFFF"/>
                <w:sz w:val="19"/>
                <w:szCs w:val="19"/>
              </w:rPr>
              <w:t>H</w:t>
            </w:r>
          </w:p>
        </w:tc>
        <w:tc>
          <w:tcPr>
            <w:tcW w:w="1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STALE-BUT-USABLE</w:t>
            </w:r>
          </w:p>
        </w:tc>
        <w:tc>
          <w:tcPr>
            <w:tcW w:w="1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PROVISIONAL USE</w:t>
            </w:r>
          </w:p>
        </w:tc>
        <w:tc>
          <w:tcPr>
            <w:tcW w:w="17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HUMAN RECONFIRMATION</w:t>
            </w:r>
          </w:p>
        </w:tc>
      </w:tr>
      <w:tr w:rsidR="00142DAB">
        <w:tblPrEx>
          <w:tblCellMar>
            <w:top w:w="0" w:type="dxa"/>
            <w:bottom w:w="0" w:type="dxa"/>
          </w:tblCellMar>
        </w:tblPrEx>
        <w:tc>
          <w:tcPr>
            <w:tcW w:w="17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Static versioned policy (ISP-001, DPA-TM-001, PAM-001)</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Pinned at initialization. Version ID locked to manifest entry.</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eligible for refresh during run.</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permitted. Unverified version triggers PROVISION</w:t>
            </w:r>
            <w:r>
              <w:rPr>
                <w:sz w:val="19"/>
                <w:szCs w:val="19"/>
              </w:rPr>
              <w:lastRenderedPageBreak/>
              <w:t>AL evidence flag.</w:t>
            </w:r>
          </w:p>
        </w:tc>
        <w:tc>
          <w:tcPr>
            <w:tcW w:w="14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 xml:space="preserve">Permitted only when </w:t>
            </w:r>
            <w:proofErr w:type="spellStart"/>
            <w:r>
              <w:rPr>
                <w:sz w:val="19"/>
                <w:szCs w:val="19"/>
              </w:rPr>
              <w:t>manifest_status</w:t>
            </w:r>
            <w:proofErr w:type="spellEnd"/>
            <w:r>
              <w:rPr>
                <w:sz w:val="19"/>
                <w:szCs w:val="19"/>
              </w:rPr>
              <w:t xml:space="preserve"> = PROVISIONAL and owning </w:t>
            </w:r>
            <w:r>
              <w:rPr>
                <w:sz w:val="19"/>
                <w:szCs w:val="19"/>
              </w:rPr>
              <w:lastRenderedPageBreak/>
              <w:t>domain has been notified.</w:t>
            </w:r>
          </w:p>
        </w:tc>
        <w:tc>
          <w:tcPr>
            <w:tcW w:w="17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 xml:space="preserve">Required before </w:t>
            </w:r>
            <w:proofErr w:type="spellStart"/>
            <w:r>
              <w:rPr>
                <w:sz w:val="19"/>
                <w:szCs w:val="19"/>
              </w:rPr>
              <w:t>overall_status</w:t>
            </w:r>
            <w:proofErr w:type="spellEnd"/>
            <w:r>
              <w:rPr>
                <w:sz w:val="19"/>
                <w:szCs w:val="19"/>
              </w:rPr>
              <w:t xml:space="preserve"> = COMPLETE when source is PROVISIONAL.</w:t>
            </w:r>
          </w:p>
        </w:tc>
      </w:tr>
      <w:tr w:rsidR="00142DAB">
        <w:tblPrEx>
          <w:tblCellMar>
            <w:top w:w="0" w:type="dxa"/>
            <w:bottom w:w="0" w:type="dxa"/>
          </w:tblCellMar>
        </w:tblPrEx>
        <w:tc>
          <w:tcPr>
            <w:tcW w:w="17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Structured intake </w:t>
            </w:r>
            <w:r>
              <w:rPr>
                <w:sz w:val="19"/>
                <w:szCs w:val="19"/>
              </w:rPr>
              <w:t>(VQ-OC-001)</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Pinned at submission. If multiple versions exist: </w:t>
            </w:r>
            <w:proofErr w:type="spellStart"/>
            <w:r>
              <w:rPr>
                <w:sz w:val="19"/>
                <w:szCs w:val="19"/>
              </w:rPr>
              <w:t>workflow_state</w:t>
            </w:r>
            <w:proofErr w:type="spellEnd"/>
            <w:r>
              <w:rPr>
                <w:sz w:val="19"/>
                <w:szCs w:val="19"/>
              </w:rPr>
              <w:t xml:space="preserve"> = BLOCKED, </w:t>
            </w:r>
            <w:proofErr w:type="spellStart"/>
            <w:r>
              <w:rPr>
                <w:sz w:val="19"/>
                <w:szCs w:val="19"/>
              </w:rPr>
              <w:t>resolution_mode</w:t>
            </w:r>
            <w:proofErr w:type="spellEnd"/>
            <w:r>
              <w:rPr>
                <w:sz w:val="19"/>
                <w:szCs w:val="19"/>
              </w:rPr>
              <w:t xml:space="preserve"> = ESCALATED_TO_PROCUREMENT.</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eligible. Questionnaire is immutable once intake validation passes.</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w:t>
            </w:r>
          </w:p>
        </w:tc>
        <w:tc>
          <w:tcPr>
            <w:tcW w:w="14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w:t>
            </w:r>
          </w:p>
        </w:tc>
        <w:tc>
          <w:tcPr>
            <w:tcW w:w="17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Required if version </w:t>
            </w:r>
            <w:r>
              <w:rPr>
                <w:sz w:val="19"/>
                <w:szCs w:val="19"/>
              </w:rPr>
              <w:t>conflict detected.</w:t>
            </w:r>
          </w:p>
        </w:tc>
      </w:tr>
      <w:tr w:rsidR="00142DAB">
        <w:tblPrEx>
          <w:tblCellMar>
            <w:top w:w="0" w:type="dxa"/>
            <w:bottom w:w="0" w:type="dxa"/>
          </w:tblCellMar>
        </w:tblPrEx>
        <w:tc>
          <w:tcPr>
            <w:tcW w:w="17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Governed precedent (PVD-001)</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Pinned to state at initialization. New precedents added after </w:t>
            </w:r>
            <w:proofErr w:type="spellStart"/>
            <w:r>
              <w:rPr>
                <w:sz w:val="19"/>
                <w:szCs w:val="19"/>
              </w:rPr>
              <w:t>init</w:t>
            </w:r>
            <w:proofErr w:type="spellEnd"/>
            <w:r>
              <w:rPr>
                <w:sz w:val="19"/>
                <w:szCs w:val="19"/>
              </w:rPr>
              <w:t xml:space="preserve"> are out of scope for this run.</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eligible during run.</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Permitted. Precedents are supplementary; a dated record is usable as context with a recency note in the retrieval manifest.</w:t>
            </w:r>
          </w:p>
        </w:tc>
        <w:tc>
          <w:tcPr>
            <w:tcW w:w="14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Permitted without triggering run-level PROVISIONAL.</w:t>
            </w:r>
          </w:p>
        </w:tc>
        <w:tc>
          <w:tcPr>
            <w:tcW w:w="17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required unless precedent is the only evidence for a determination.</w:t>
            </w:r>
          </w:p>
        </w:tc>
      </w:tr>
      <w:tr w:rsidR="00142DAB">
        <w:tblPrEx>
          <w:tblCellMar>
            <w:top w:w="0" w:type="dxa"/>
            <w:bottom w:w="0" w:type="dxa"/>
          </w:tblCellMar>
        </w:tblPrEx>
        <w:tc>
          <w:tcPr>
            <w:tcW w:w="17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Low-authority supplemental (SLK-001)</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Captured as export at initialization. No run-time </w:t>
            </w:r>
            <w:proofErr w:type="gramStart"/>
            <w:r>
              <w:rPr>
                <w:sz w:val="19"/>
                <w:szCs w:val="19"/>
              </w:rPr>
              <w:t>update</w:t>
            </w:r>
            <w:proofErr w:type="gramEnd"/>
            <w:r>
              <w:rPr>
                <w:sz w:val="19"/>
                <w:szCs w:val="19"/>
              </w:rPr>
              <w:t>.</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eligible.</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Permitted. Recency noted in retrieval manifest but not blocking.</w:t>
            </w:r>
          </w:p>
        </w:tc>
        <w:tc>
          <w:tcPr>
            <w:tcW w:w="14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 — Tier 4 sources never drive determinations.</w:t>
            </w:r>
          </w:p>
        </w:tc>
        <w:tc>
          <w:tcPr>
            <w:tcW w:w="17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required.</w:t>
            </w:r>
          </w:p>
        </w:tc>
      </w:tr>
    </w:tbl>
    <w:p w:rsidR="00142DAB" w:rsidRDefault="00C63C6D">
      <w:pPr>
        <w:pStyle w:val="Heading1"/>
        <w:pBdr>
          <w:bottom w:val="single" w:sz="8" w:space="4" w:color="1F3864"/>
        </w:pBdr>
      </w:pPr>
      <w:r>
        <w:t>8. Evidence Provenance Minimum Requirements</w:t>
      </w:r>
    </w:p>
    <w:p w:rsidR="00142DAB" w:rsidRDefault="00C63C6D">
      <w:pPr>
        <w:spacing w:before="80" w:after="80"/>
      </w:pPr>
      <w:r>
        <w:t xml:space="preserve">Every piece of retrieved evidence must carry a complete provenance record before it is eligible for inclusion in an agent context bundle or for citation in a determination. Evidence without a complete provenance </w:t>
      </w:r>
      <w:r>
        <w:t>record is ineligible for downstream use regardless of retrieval score.</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2DAB">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PROVENANCE FIELD</w:t>
            </w:r>
          </w:p>
        </w:tc>
        <w:tc>
          <w:tcPr>
            <w:tcW w:w="6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DEFINITION AND REQUIREMENTS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source_id</w:t>
            </w:r>
            <w:proofErr w:type="spellEnd"/>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Matches the source ID in the initialization manifest (e.g., ISP-001). Required for all source types.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source_name</w:t>
            </w:r>
            <w:proofErr w:type="spellEnd"/>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Human-readable display name. Required for all source types.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source_type</w:t>
            </w:r>
            <w:proofErr w:type="spellEnd"/>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One of: POLICY | MATRIX | QUESTIONNAIRE | PRECEDENT | SUPPLEMENTAL_NOTE. Required for all source types.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version</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Version string from the initialization manifest. Must match manifest exactly. Required for all source types.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chunk_identifier</w:t>
            </w:r>
            <w:proofErr w:type="spellEnd"/>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For indexed sources: section number, row ID, record ID, or thread ID. For direct-access sources: JSON field path (e.g., </w:t>
            </w:r>
            <w:proofErr w:type="spellStart"/>
            <w:r>
              <w:rPr>
                <w:sz w:val="19"/>
                <w:szCs w:val="19"/>
              </w:rPr>
              <w:t>integration_details.erp_type</w:t>
            </w:r>
            <w:proofErr w:type="spellEnd"/>
            <w:r>
              <w:rPr>
                <w:sz w:val="19"/>
                <w:szCs w:val="19"/>
              </w:rPr>
              <w:t>). Required for all source types.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retrieval_timestamp</w:t>
            </w:r>
            <w:proofErr w:type="spellEnd"/>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ISO 8601 UTC timestamp of the retrieval operation. Re</w:t>
            </w:r>
            <w:r>
              <w:rPr>
                <w:sz w:val="19"/>
                <w:szCs w:val="19"/>
              </w:rPr>
              <w:t>quired for all source types.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lastRenderedPageBreak/>
              <w:t>authority_tier</w:t>
            </w:r>
            <w:proofErr w:type="spellEnd"/>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Integer 1–4, matching the tier in §5. Required for all source types.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citation_class</w:t>
            </w:r>
            <w:proofErr w:type="spellEnd"/>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One of: PRIMARY | SUPPLEMENTARY. Tier 3–4 sources are always SUPPLEMENTARY. See §13 for citation rules. Required for all source types.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retrieval_score</w:t>
            </w:r>
            <w:proofErr w:type="spellEnd"/>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Fused hybrid score (dense + BM25 via RRF) before re-ranking. Optional for direct-access sources.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rerank_score</w:t>
            </w:r>
            <w:proofErr w:type="spellEnd"/>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Score after cross-encoder re-ranking and authority weight application. Optional for direct-access sources.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manifest_status</w:t>
            </w:r>
            <w:proofErr w:type="spellEnd"/>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 of the source in the initialization manifest: CONFIRMED | PROVISIONAL. Propagates PROVISIONAL evidence flag to dependent determinations.</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blPrEx>
          <w:tblCellMar>
            <w:top w:w="0" w:type="dxa"/>
            <w:bottom w:w="0" w:type="dxa"/>
          </w:tblCellMar>
        </w:tblPrEx>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INELIGIBILITY RULE:  </w:t>
            </w:r>
            <w:r>
              <w:t xml:space="preserve">Any retrieved chunk missing </w:t>
            </w:r>
            <w:proofErr w:type="spellStart"/>
            <w:r>
              <w:t>source_id</w:t>
            </w:r>
            <w:proofErr w:type="spellEnd"/>
            <w:r>
              <w:t xml:space="preserve">, version, </w:t>
            </w:r>
            <w:proofErr w:type="spellStart"/>
            <w:r>
              <w:t>chunk_identifier</w:t>
            </w:r>
            <w:proofErr w:type="spellEnd"/>
            <w:r>
              <w:t xml:space="preserve">, </w:t>
            </w:r>
            <w:proofErr w:type="spellStart"/>
            <w:r>
              <w:t>retrieval_timestamp</w:t>
            </w:r>
            <w:proofErr w:type="spellEnd"/>
            <w:r>
              <w:t xml:space="preserve">, </w:t>
            </w:r>
            <w:proofErr w:type="spellStart"/>
            <w:r>
              <w:t>au</w:t>
            </w:r>
            <w:r>
              <w:t>thority_tier</w:t>
            </w:r>
            <w:proofErr w:type="spellEnd"/>
            <w:r>
              <w:t xml:space="preserve">, </w:t>
            </w:r>
            <w:proofErr w:type="spellStart"/>
            <w:r>
              <w:t>citation_class</w:t>
            </w:r>
            <w:proofErr w:type="spellEnd"/>
            <w:r>
              <w:t xml:space="preserve">, or </w:t>
            </w:r>
            <w:proofErr w:type="spellStart"/>
            <w:r>
              <w:t>manifest_status</w:t>
            </w:r>
            <w:proofErr w:type="spellEnd"/>
            <w:r>
              <w:t xml:space="preserve"> is excluded from the context bundle. The exclusion must be logged in the retrieval manifest with reason: INCOMPLETE_PROVENANCE.</w:t>
            </w:r>
          </w:p>
        </w:tc>
      </w:tr>
    </w:tbl>
    <w:p w:rsidR="00142DAB" w:rsidRDefault="00C63C6D">
      <w:pPr>
        <w:pStyle w:val="Heading1"/>
        <w:pBdr>
          <w:bottom w:val="single" w:sz="8" w:space="4" w:color="1F3864"/>
        </w:pBdr>
      </w:pPr>
      <w:r>
        <w:t>9. Retrieval Bundle Admissibility Requirements</w:t>
      </w:r>
    </w:p>
    <w:p w:rsidR="00142DAB" w:rsidRDefault="00C63C6D">
      <w:pPr>
        <w:spacing w:before="80" w:after="80"/>
      </w:pPr>
      <w:r>
        <w:t>These requirements define the minimum evidence composition a bundle must satisfy before it is considered admissible for agent use. A bundle that does not meet its admissibility requirements is inadmissible. How agents respond to an inadmissible bundle is g</w:t>
      </w:r>
      <w:r>
        <w:t>overned by the Agent Spec and Design Doc §11. This section governs the evidence threshold, not the response behavior.</w:t>
      </w:r>
    </w:p>
    <w:p w:rsidR="00142DAB" w:rsidRDefault="00142DAB">
      <w:pPr>
        <w:spacing w:before="100" w:after="100"/>
      </w:pPr>
    </w:p>
    <w:p w:rsidR="00142DAB" w:rsidRDefault="00C63C6D">
      <w:pPr>
        <w:pStyle w:val="Heading2"/>
      </w:pPr>
      <w:r>
        <w:t>9.1 IT Security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Vendor questionnaire — data handling fields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integration_details.erp_type</w:t>
            </w:r>
            <w:proofErr w:type="spellEnd"/>
            <w:r>
              <w:rPr>
                <w:sz w:val="19"/>
                <w:szCs w:val="19"/>
              </w:rPr>
              <w:t xml:space="preserve">, </w:t>
            </w:r>
            <w:proofErr w:type="spellStart"/>
            <w:r>
              <w:rPr>
                <w:sz w:val="19"/>
                <w:szCs w:val="19"/>
              </w:rPr>
              <w:t>data_classification_self_reported</w:t>
            </w:r>
            <w:proofErr w:type="spellEnd"/>
            <w:r>
              <w:rPr>
                <w:sz w:val="19"/>
                <w:szCs w:val="19"/>
              </w:rPr>
              <w:t xml:space="preserve">, </w:t>
            </w:r>
            <w:proofErr w:type="spellStart"/>
            <w:r>
              <w:rPr>
                <w:sz w:val="19"/>
                <w:szCs w:val="19"/>
              </w:rPr>
              <w:t>regulated_data_types</w:t>
            </w:r>
            <w:proofErr w:type="spellEnd"/>
            <w:r>
              <w:rPr>
                <w:sz w:val="19"/>
                <w:szCs w:val="19"/>
              </w:rPr>
              <w:t xml:space="preserve"> must be present. Bundle is inadmissible without these fields.</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 Policy citation</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At least one section-level citation required for any nontrivial classification determination. If no policy section is retrieved, classification evidence is insufficient for a RESOLVED determination.</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Risk classification matrix row</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if ERP integrati</w:t>
            </w:r>
            <w:r>
              <w:rPr>
                <w:sz w:val="19"/>
                <w:szCs w:val="19"/>
              </w:rPr>
              <w:t>on type is identified. If ERP type is ambiguous, classification evidence is insufficient; determination carries PROVISIONAL flag.</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Precedent context</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Optional. Include if a relevant security-domain precedent exists.</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Slack / notes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Excluded per §6.1.</w:t>
            </w:r>
          </w:p>
        </w:tc>
      </w:tr>
    </w:tbl>
    <w:p w:rsidR="00142DAB" w:rsidRDefault="00142DAB">
      <w:pPr>
        <w:spacing w:before="100" w:after="100"/>
      </w:pPr>
    </w:p>
    <w:p w:rsidR="00142DAB" w:rsidRDefault="00C63C6D">
      <w:pPr>
        <w:pStyle w:val="Heading2"/>
      </w:pPr>
      <w:r>
        <w:t>9.2 Legal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 xml:space="preserve">IT Security Agent output — </w:t>
            </w:r>
            <w:proofErr w:type="spellStart"/>
            <w:r>
              <w:rPr>
                <w:sz w:val="19"/>
                <w:szCs w:val="19"/>
              </w:rPr>
              <w:t>data_classification</w:t>
            </w:r>
            <w:proofErr w:type="spellEnd"/>
            <w:r>
              <w:rPr>
                <w:sz w:val="19"/>
                <w:szCs w:val="19"/>
              </w:rPr>
              <w:t xml:space="preserve"> field</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Bundle is inadmissible without upstream classification. If Security Agent output is AMBIGUOUS, Legal bundle must include that explicitly.</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 at least one matching row</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for a DPA determination to be admissible as RESOLVED. If no trigger-matrix row matches, the determination lacks sufficient evidence.</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Questionnaire — EU personal data fields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Required for DPA scoping: </w:t>
            </w:r>
            <w:proofErr w:type="spellStart"/>
            <w:r>
              <w:rPr>
                <w:sz w:val="19"/>
                <w:szCs w:val="19"/>
              </w:rPr>
              <w:t>eu_personal_data_flag</w:t>
            </w:r>
            <w:proofErr w:type="spellEnd"/>
            <w:r>
              <w:rPr>
                <w:sz w:val="19"/>
                <w:szCs w:val="19"/>
              </w:rPr>
              <w:t xml:space="preserve">, </w:t>
            </w:r>
            <w:proofErr w:type="spellStart"/>
            <w:r>
              <w:rPr>
                <w:sz w:val="19"/>
                <w:szCs w:val="19"/>
              </w:rPr>
              <w:t>data_subjects_eu</w:t>
            </w:r>
            <w:proofErr w:type="spellEnd"/>
            <w:r>
              <w:rPr>
                <w:sz w:val="19"/>
                <w:szCs w:val="19"/>
              </w:rPr>
              <w:t>.</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Precedent context — legal domain</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Optional.</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Slack / notes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Excluded per §6.1.</w:t>
            </w:r>
          </w:p>
        </w:tc>
      </w:tr>
    </w:tbl>
    <w:p w:rsidR="00142DAB" w:rsidRDefault="00142DAB">
      <w:pPr>
        <w:spacing w:before="100" w:after="100"/>
      </w:pPr>
    </w:p>
    <w:p w:rsidR="00142DAB" w:rsidRDefault="00C63C6D">
      <w:pPr>
        <w:pStyle w:val="Heading2"/>
      </w:pPr>
      <w:r>
        <w:t>9.3 Procurement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 (full)</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Required: </w:t>
            </w:r>
            <w:proofErr w:type="spellStart"/>
            <w:r>
              <w:rPr>
                <w:sz w:val="19"/>
                <w:szCs w:val="19"/>
              </w:rPr>
              <w:t>fast_track_eligible</w:t>
            </w:r>
            <w:proofErr w:type="spellEnd"/>
            <w:r>
              <w:rPr>
                <w:sz w:val="19"/>
                <w:szCs w:val="19"/>
              </w:rPr>
              <w:t xml:space="preserve">, </w:t>
            </w:r>
            <w:proofErr w:type="spellStart"/>
            <w:r>
              <w:rPr>
                <w:sz w:val="19"/>
                <w:szCs w:val="19"/>
              </w:rPr>
              <w:t>data_classification</w:t>
            </w:r>
            <w:proofErr w:type="spellEnd"/>
            <w:r>
              <w:rPr>
                <w:sz w:val="19"/>
                <w:szCs w:val="19"/>
              </w:rPr>
              <w:t xml:space="preserve">, </w:t>
            </w:r>
            <w:proofErr w:type="spellStart"/>
            <w:r>
              <w:rPr>
                <w:sz w:val="19"/>
                <w:szCs w:val="19"/>
              </w:rPr>
              <w:t>policy_citations</w:t>
            </w:r>
            <w:proofErr w:type="spellEnd"/>
            <w:r>
              <w:rPr>
                <w:sz w:val="19"/>
                <w:szCs w:val="19"/>
              </w:rPr>
              <w:t>.</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 output (full)</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Required: </w:t>
            </w:r>
            <w:proofErr w:type="spellStart"/>
            <w:r>
              <w:rPr>
                <w:sz w:val="19"/>
                <w:szCs w:val="19"/>
              </w:rPr>
              <w:t>dpa_required</w:t>
            </w:r>
            <w:proofErr w:type="spellEnd"/>
            <w:r>
              <w:rPr>
                <w:sz w:val="19"/>
                <w:szCs w:val="19"/>
              </w:rPr>
              <w:t xml:space="preserve">, </w:t>
            </w:r>
            <w:proofErr w:type="spellStart"/>
            <w:r>
              <w:rPr>
                <w:sz w:val="19"/>
                <w:szCs w:val="19"/>
              </w:rPr>
              <w:t>dpa_blocker</w:t>
            </w:r>
            <w:proofErr w:type="spellEnd"/>
            <w:r>
              <w:rPr>
                <w:sz w:val="19"/>
                <w:szCs w:val="19"/>
              </w:rPr>
              <w:t xml:space="preserve">, </w:t>
            </w:r>
            <w:proofErr w:type="spellStart"/>
            <w:r>
              <w:rPr>
                <w:sz w:val="19"/>
                <w:szCs w:val="19"/>
              </w:rPr>
              <w:t>trigger_rule_cited</w:t>
            </w:r>
            <w:proofErr w:type="spellEnd"/>
            <w:r>
              <w:rPr>
                <w:sz w:val="19"/>
                <w:szCs w:val="19"/>
              </w:rPr>
              <w:t>. Bundle is inadmissible if either upstream agent output is absent.</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Approval Matrix — at least one matching approval path row</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Required for an </w:t>
            </w:r>
            <w:proofErr w:type="spellStart"/>
            <w:r>
              <w:rPr>
                <w:sz w:val="19"/>
                <w:szCs w:val="19"/>
              </w:rPr>
              <w:t>approval_path</w:t>
            </w:r>
            <w:proofErr w:type="spellEnd"/>
            <w:r>
              <w:rPr>
                <w:sz w:val="19"/>
                <w:szCs w:val="19"/>
              </w:rPr>
              <w:t xml:space="preserve"> determ</w:t>
            </w:r>
            <w:r>
              <w:rPr>
                <w:sz w:val="19"/>
                <w:szCs w:val="19"/>
              </w:rPr>
              <w:t>ination. If no matching row is found, the determination lacks sufficient evidence for RESOLVED.</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Questionnaire — vendor relationship fields</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Required: </w:t>
            </w:r>
            <w:proofErr w:type="spellStart"/>
            <w:r>
              <w:rPr>
                <w:sz w:val="19"/>
                <w:szCs w:val="19"/>
              </w:rPr>
              <w:t>existing_nda_status</w:t>
            </w:r>
            <w:proofErr w:type="spellEnd"/>
            <w:r>
              <w:rPr>
                <w:sz w:val="19"/>
                <w:szCs w:val="19"/>
              </w:rPr>
              <w:t xml:space="preserve">, </w:t>
            </w:r>
            <w:proofErr w:type="spellStart"/>
            <w:r>
              <w:rPr>
                <w:sz w:val="19"/>
                <w:szCs w:val="19"/>
              </w:rPr>
              <w:t>existing_msa</w:t>
            </w:r>
            <w:proofErr w:type="spellEnd"/>
            <w:r>
              <w:rPr>
                <w:sz w:val="19"/>
                <w:szCs w:val="19"/>
              </w:rPr>
              <w:t xml:space="preserve">, </w:t>
            </w:r>
            <w:proofErr w:type="spellStart"/>
            <w:r>
              <w:rPr>
                <w:sz w:val="19"/>
                <w:szCs w:val="19"/>
              </w:rPr>
              <w:t>vendor_class</w:t>
            </w:r>
            <w:proofErr w:type="spellEnd"/>
            <w:r>
              <w:rPr>
                <w:sz w:val="19"/>
                <w:szCs w:val="19"/>
              </w:rPr>
              <w:t xml:space="preserve">, </w:t>
            </w:r>
            <w:proofErr w:type="spellStart"/>
            <w:r>
              <w:rPr>
                <w:sz w:val="19"/>
                <w:szCs w:val="19"/>
              </w:rPr>
              <w:t>deal_size</w:t>
            </w:r>
            <w:proofErr w:type="spellEnd"/>
            <w:r>
              <w:rPr>
                <w:sz w:val="19"/>
                <w:szCs w:val="19"/>
              </w:rPr>
              <w:t>.</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Precedent context — procurement domain</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Optional.</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Slack / meeting notes</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Permitted (Procurement-scoped threads only) when </w:t>
            </w:r>
            <w:proofErr w:type="gramStart"/>
            <w:r>
              <w:rPr>
                <w:sz w:val="19"/>
                <w:szCs w:val="19"/>
              </w:rPr>
              <w:t>specifically</w:t>
            </w:r>
            <w:proofErr w:type="gramEnd"/>
            <w:r>
              <w:rPr>
                <w:sz w:val="19"/>
                <w:szCs w:val="19"/>
              </w:rPr>
              <w:t xml:space="preserve"> relevant. Otherwise excluded.</w:t>
            </w:r>
          </w:p>
        </w:tc>
      </w:tr>
    </w:tbl>
    <w:p w:rsidR="00142DAB" w:rsidRDefault="00142DAB">
      <w:pPr>
        <w:spacing w:before="100" w:after="100"/>
      </w:pPr>
    </w:p>
    <w:p w:rsidR="00142DAB" w:rsidRDefault="00C63C6D">
      <w:pPr>
        <w:pStyle w:val="Heading2"/>
      </w:pPr>
      <w:r>
        <w:t>9.4 Checklist Assembler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All domain agent structured outputs (JSON)</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Legal, and Procurement outputs must all be present and schema-valid per Design Doc §10.</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Audit log entries for the current run</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Required. Used to compose </w:t>
            </w:r>
            <w:proofErr w:type="gramStart"/>
            <w:r>
              <w:rPr>
                <w:sz w:val="19"/>
                <w:szCs w:val="19"/>
              </w:rPr>
              <w:t>citations[</w:t>
            </w:r>
            <w:proofErr w:type="gramEnd"/>
            <w:r>
              <w:rPr>
                <w:sz w:val="19"/>
                <w:szCs w:val="19"/>
              </w:rPr>
              <w:t>] and blockers[] arrays.</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Raw source documents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Excluded. Checklist Assembler receives only processed agent outputs and audit log data.</w:t>
            </w:r>
          </w:p>
        </w:tc>
      </w:tr>
    </w:tbl>
    <w:p w:rsidR="00142DAB" w:rsidRDefault="00142DAB">
      <w:pPr>
        <w:spacing w:before="100" w:after="100"/>
      </w:pPr>
    </w:p>
    <w:p w:rsidR="00142DAB" w:rsidRDefault="00C63C6D">
      <w:pPr>
        <w:pStyle w:val="Heading2"/>
      </w:pPr>
      <w:r>
        <w:t>9.5 Checkoff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Finalized checklist output (structured JSON)</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Primary input.</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Stakeholder guidance context</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role-to-stakeholder map, required approver list, escalation reasons if any.</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Domain agent outputs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Available for reference when composing guidance documents (structured outputs only).</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Any index endpoint query</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Prohibited. The Checkoff Agent is downstream-only and may consume only assembled outputs, stakeholder-routing metadata, and audit-visible determination summaries. It has no independent evidence-discovery authority.</w:t>
            </w:r>
          </w:p>
        </w:tc>
      </w:tr>
    </w:tbl>
    <w:p w:rsidR="00142DAB" w:rsidRDefault="00C63C6D">
      <w:pPr>
        <w:pStyle w:val="Heading1"/>
        <w:pBdr>
          <w:bottom w:val="single" w:sz="8" w:space="4" w:color="1F3864"/>
        </w:pBdr>
      </w:pPr>
      <w:r>
        <w:t>10. Token Budget per Agent</w:t>
      </w:r>
    </w:p>
    <w:p w:rsidR="00142DAB" w:rsidRDefault="00C63C6D">
      <w:pPr>
        <w:spacing w:before="80" w:after="80"/>
      </w:pPr>
      <w:r>
        <w:t>Per-agent token budgets are defined in Design Doc §9 and extended here with the Checkoff Agent. These are architectural constraints enforced in the pipeline orchestration layer.</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AGENT</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BUDGET &amp; COMPOSITION RULES</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~8,000 tokens. Questionna</w:t>
            </w:r>
            <w:r>
              <w:rPr>
                <w:sz w:val="19"/>
                <w:szCs w:val="19"/>
              </w:rPr>
              <w:t>ire data fields + relevant IT Security Policy sections (subquery; full doc excluded) + risk classification matrix rows. Supplementary context excluded when budget is constrained.</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~6,000 tokens. IT Security Agent output (</w:t>
            </w:r>
            <w:proofErr w:type="spellStart"/>
            <w:r>
              <w:rPr>
                <w:sz w:val="19"/>
                <w:szCs w:val="19"/>
              </w:rPr>
              <w:t>data_classification</w:t>
            </w:r>
            <w:proofErr w:type="spellEnd"/>
            <w:r>
              <w:rPr>
                <w:sz w:val="19"/>
                <w:szCs w:val="19"/>
              </w:rPr>
              <w:t xml:space="preserve"> only) + relevant DPA trigger matrix rows + any prior DPA precedents for this vendor class.</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~7,000 tokens. IT Security output + Legal output + relevant approval matrix rows + prior vendor relationship context (Procurement-scoped only). Slack threads excluded unless specifically flagged.</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Checklist Assembler</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~10,000 tokens. All domain agent output</w:t>
            </w:r>
            <w:r>
              <w:rPr>
                <w:sz w:val="19"/>
                <w:szCs w:val="19"/>
              </w:rPr>
              <w:t>s (structured JSON) + audit log entries + final status signals. Does not receive raw source documents.</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Checkoff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~8,000 tokens. Finalized checklist output + stakeholder map + required approver list + escalation reasons (if any) + relevant domain agent determination summaries. No raw source retrieval.</w:t>
            </w:r>
          </w:p>
        </w:tc>
      </w:tr>
    </w:tbl>
    <w:p w:rsidR="00142DAB" w:rsidRDefault="00142DAB">
      <w:pPr>
        <w:spacing w:before="100" w:after="100"/>
      </w:pPr>
    </w:p>
    <w:p w:rsidR="00142DAB" w:rsidRDefault="00C63C6D">
      <w:pPr>
        <w:pStyle w:val="Heading2"/>
      </w:pPr>
      <w:r>
        <w:t>10.1 Priority Ordering Under Budget Constraint</w:t>
      </w:r>
    </w:p>
    <w:p w:rsidR="00142DAB" w:rsidRDefault="00C63C6D">
      <w:pPr>
        <w:spacing w:before="80" w:after="80"/>
      </w:pPr>
      <w:r>
        <w:t>When assembled context approaches the token budget, the pipeline retains evidence in the following priority order:</w:t>
      </w:r>
    </w:p>
    <w:p w:rsidR="00142DAB" w:rsidRDefault="00C63C6D" w:rsidP="00553488">
      <w:pPr>
        <w:pStyle w:val="ListParagraph"/>
        <w:spacing w:before="40" w:after="40"/>
        <w:ind w:left="720"/>
      </w:pPr>
      <w:r>
        <w:t>1. Mandatory structured intake data (questionnaire fields required for this determination)</w:t>
      </w:r>
    </w:p>
    <w:p w:rsidR="00142DAB" w:rsidRDefault="00C63C6D" w:rsidP="00553488">
      <w:pPr>
        <w:pStyle w:val="ListParagraph"/>
        <w:spacing w:before="40" w:after="40"/>
        <w:ind w:left="720"/>
      </w:pPr>
      <w:r>
        <w:t>2. Primary policy source (highest-authority Tier 1</w:t>
      </w:r>
      <w:r>
        <w:t xml:space="preserve"> source relevant to this determination)</w:t>
      </w:r>
    </w:p>
    <w:p w:rsidR="00142DAB" w:rsidRDefault="00C63C6D" w:rsidP="00553488">
      <w:pPr>
        <w:pStyle w:val="ListParagraph"/>
        <w:spacing w:before="40" w:after="40"/>
        <w:ind w:left="720"/>
      </w:pPr>
      <w:r>
        <w:t>3. Secondary structured sources (matrices, trigger tables)</w:t>
      </w:r>
    </w:p>
    <w:p w:rsidR="00142DAB" w:rsidRDefault="00C63C6D" w:rsidP="00553488">
      <w:pPr>
        <w:pStyle w:val="ListParagraph"/>
        <w:spacing w:before="40" w:after="40"/>
        <w:ind w:left="720"/>
      </w:pPr>
      <w:r>
        <w:t>4. Precedent context (Tier 3)</w:t>
      </w:r>
    </w:p>
    <w:p w:rsidR="00142DAB" w:rsidRDefault="00C63C6D" w:rsidP="00553488">
      <w:pPr>
        <w:pStyle w:val="ListParagraph"/>
        <w:spacing w:before="40" w:after="40"/>
        <w:ind w:left="720"/>
      </w:pPr>
      <w:bookmarkStart w:id="0" w:name="_GoBack"/>
      <w:bookmarkEnd w:id="0"/>
      <w:r>
        <w:t>5. Supplementary context (Tier 4 — Slack / notes). Excluded first when budget is constrained.</w:t>
      </w:r>
    </w:p>
    <w:p w:rsidR="00142DAB" w:rsidRDefault="00C63C6D">
      <w:pPr>
        <w:pStyle w:val="Heading1"/>
        <w:pBdr>
          <w:bottom w:val="single" w:sz="8" w:space="4" w:color="1F3864"/>
        </w:pBdr>
      </w:pPr>
      <w:r>
        <w:t>11. Low-Authority Source Handling</w:t>
      </w:r>
      <w:r>
        <w:t xml:space="preserve"> Rules</w:t>
      </w:r>
    </w:p>
    <w:p w:rsidR="00142DAB" w:rsidRDefault="00C63C6D">
      <w:pPr>
        <w:spacing w:before="80" w:after="80"/>
      </w:pPr>
      <w:r>
        <w:lastRenderedPageBreak/>
        <w:t>Slack threads and meeting notes (SLK-001) are governed by the following rules in addition to the authority hierarchy in §5.</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RULE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SPECIFICATION</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Authority score cap</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4 sources receive a fixed authority weight cap at re-ranking, regardless of semantic similarity score. A Tier 4 chunk with a higher similarity score than a Tier 1 chunk is still weighted below the Tier 1 chunk in the final bundle.</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Citation class restriction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Tier 4 sources may only appear as </w:t>
            </w:r>
            <w:proofErr w:type="spellStart"/>
            <w:r>
              <w:rPr>
                <w:sz w:val="19"/>
                <w:szCs w:val="19"/>
              </w:rPr>
              <w:t>citation_class</w:t>
            </w:r>
            <w:proofErr w:type="spellEnd"/>
            <w:r>
              <w:rPr>
                <w:sz w:val="19"/>
                <w:szCs w:val="19"/>
              </w:rPr>
              <w:t xml:space="preserve">: SUPPLEMENTARY. They may never appear as </w:t>
            </w:r>
            <w:proofErr w:type="spellStart"/>
            <w:r>
              <w:rPr>
                <w:sz w:val="19"/>
                <w:szCs w:val="19"/>
              </w:rPr>
              <w:t>citation_class</w:t>
            </w:r>
            <w:proofErr w:type="spellEnd"/>
            <w:r>
              <w:rPr>
                <w:sz w:val="19"/>
                <w:szCs w:val="19"/>
              </w:rPr>
              <w:t>: PRIMARY.</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Conflict suppression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When a Tier 4 source conflicts with any Tier 1, 2, or 3 </w:t>
            </w:r>
            <w:proofErr w:type="gramStart"/>
            <w:r>
              <w:rPr>
                <w:sz w:val="19"/>
                <w:szCs w:val="19"/>
              </w:rPr>
              <w:t>source</w:t>
            </w:r>
            <w:proofErr w:type="gramEnd"/>
            <w:r>
              <w:rPr>
                <w:sz w:val="19"/>
                <w:szCs w:val="19"/>
              </w:rPr>
              <w:t>, the Tier 4 source is suppressed from the bundle. Logged in the retrieval manifest with reason: AUTHORITY_SUPPRESSED.</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Intra-Tier 4 conflict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When two Tier 4 threads conflict with each other, both are suppressed. If Tier 4 is the only available evidence on a point, the evidence is insufficient for a RESOLVED determination.</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Access scope</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Only Procurement-scoped threads are eligible. No other agent may access Tier 4 sources.</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Inclusion gate</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4 evidence is included only when it adds non-conflicting, non-redundant context beyond what Tier 1–3 sources provide.</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Determination driver prohibition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4 evidence is never the sole or primary basis for a RESOLVED determination. It may supplement a RESOLVED determination but may not constitute it.</w:t>
            </w:r>
          </w:p>
        </w:tc>
      </w:tr>
    </w:tbl>
    <w:p w:rsidR="00142DAB" w:rsidRDefault="00C63C6D">
      <w:pPr>
        <w:pStyle w:val="Heading1"/>
        <w:pBdr>
          <w:bottom w:val="single" w:sz="8" w:space="4" w:color="1F3864"/>
        </w:pBdr>
      </w:pPr>
      <w:r>
        <w:t>12. Determination Evidence Sufficiency Thresholds</w:t>
      </w:r>
    </w:p>
    <w:p w:rsidR="00142DAB" w:rsidRDefault="00C63C6D">
      <w:pPr>
        <w:spacing w:before="80" w:after="80"/>
      </w:pPr>
      <w:r>
        <w:t>These thresholds define when retrieved evidence is sufficient to support a given determination status. This is a retrieval governance rule about evidence adequacy. How the pipeline emits and routes statuses in response to these evidence conditions is gover</w:t>
      </w:r>
      <w:r>
        <w:t>ned by the Design Doc (§10) and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2DAB">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STATUS</w:t>
            </w:r>
          </w:p>
        </w:tc>
        <w:tc>
          <w:tcPr>
            <w:tcW w:w="6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EVIDENCE REQUIREMENTS</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RESOLVED (evidence sufficient)</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At least one Tier 1 source citation supporting the determination. Questionnaire fields relevant to the determination are present and una</w:t>
            </w:r>
            <w:r>
              <w:rPr>
                <w:sz w:val="19"/>
                <w:szCs w:val="19"/>
              </w:rPr>
              <w:t xml:space="preserve">mbiguous. No unresolved conflicting Tier 1 evidence exists. If any governing source carries </w:t>
            </w:r>
            <w:proofErr w:type="spellStart"/>
            <w:r>
              <w:rPr>
                <w:sz w:val="19"/>
                <w:szCs w:val="19"/>
              </w:rPr>
              <w:t>manifest_status</w:t>
            </w:r>
            <w:proofErr w:type="spellEnd"/>
            <w:r>
              <w:rPr>
                <w:sz w:val="19"/>
                <w:szCs w:val="19"/>
              </w:rPr>
              <w:t xml:space="preserve"> = PROVISIONAL, the determination is RESOLVED-PROVISIONAL rather than RESOLVED-CONFIRMED.</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PROVISIONAL (evidence present but incomplete)</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Governing source is </w:t>
            </w:r>
            <w:proofErr w:type="spellStart"/>
            <w:r>
              <w:rPr>
                <w:sz w:val="19"/>
                <w:szCs w:val="19"/>
              </w:rPr>
              <w:t>queryable</w:t>
            </w:r>
            <w:proofErr w:type="spellEnd"/>
            <w:r>
              <w:rPr>
                <w:sz w:val="19"/>
                <w:szCs w:val="19"/>
              </w:rPr>
              <w:t xml:space="preserve"> but version-unconfirmed, OR only Tier 3 evidence is present without Tier 1 corroboration, OR a required questionnaire field is ambiguous. The evidence chain has a gap, not a conflict.</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ESCALATED </w:t>
            </w:r>
            <w:r>
              <w:rPr>
                <w:sz w:val="19"/>
                <w:szCs w:val="19"/>
              </w:rPr>
              <w:t>(evidence present but conflicting or out-of-scope)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evidence is present but conflicts between two or more Tier 1 sources, OR the evidence pattern falls outside the defined rule set of the governing matrix, OR human judgment is explicitly required b</w:t>
            </w:r>
            <w:r>
              <w:rPr>
                <w:sz w:val="19"/>
                <w:szCs w:val="19"/>
              </w:rPr>
              <w:t>y policy. See §3.2 for the BLOCKED/ESCALATED convention.</w:t>
            </w:r>
          </w:p>
        </w:tc>
      </w:tr>
      <w:tr w:rsidR="00142DAB">
        <w:tblPrEx>
          <w:tblCellMar>
            <w:top w:w="0" w:type="dxa"/>
            <w:bottom w:w="0" w:type="dxa"/>
          </w:tblCellMar>
        </w:tblPrEx>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BLOCKED (required evidence absent entirely)</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source is entirely unavailable, OR required upstream evidence is absent (upstream agent unresolved). The determination cannot proceed. See §3.2.</w:t>
            </w:r>
          </w:p>
        </w:tc>
      </w:tr>
    </w:tbl>
    <w:p w:rsidR="00142DAB" w:rsidRDefault="00142DAB">
      <w:pPr>
        <w:spacing w:before="100" w:after="100"/>
      </w:pPr>
    </w:p>
    <w:p w:rsidR="00142DAB" w:rsidRDefault="00C63C6D">
      <w:pPr>
        <w:pStyle w:val="Heading2"/>
      </w:pPr>
      <w:r>
        <w:t>12.1 Specific Thresholds by Determination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TYPE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MINIMUM EVIDENCE THRESHOLD</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 classification (IT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At least one IT Security Policy section citation plus questionnaire ERP integration type confirmed. If ERP type is ambiguous: evidence is insufficient for RESOLVED; determination is PROVISIONAL.</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requirement (Legal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At least one DPA trigger matrix row match plus upstream </w:t>
            </w:r>
            <w:proofErr w:type="spellStart"/>
            <w:r>
              <w:rPr>
                <w:sz w:val="19"/>
                <w:szCs w:val="19"/>
              </w:rPr>
              <w:t>data_classification</w:t>
            </w:r>
            <w:proofErr w:type="spellEnd"/>
            <w:r>
              <w:rPr>
                <w:sz w:val="19"/>
                <w:szCs w:val="19"/>
              </w:rPr>
              <w:t xml:space="preserve"> field confirmed. If no matrix row matches: evidence is insufficient; determination requires escalation.</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Fast-track eligibility (IT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Requires RESOLVED </w:t>
            </w:r>
            <w:proofErr w:type="spellStart"/>
            <w:r>
              <w:rPr>
                <w:sz w:val="19"/>
                <w:szCs w:val="19"/>
              </w:rPr>
              <w:t>data_classification</w:t>
            </w:r>
            <w:proofErr w:type="spellEnd"/>
            <w:r>
              <w:rPr>
                <w:sz w:val="19"/>
                <w:szCs w:val="19"/>
              </w:rPr>
              <w:t xml:space="preserve"> = UNREGULATED. If classification is REGULATED or AMBIGUOUS, evidence is insufficient for </w:t>
            </w:r>
            <w:proofErr w:type="spellStart"/>
            <w:r>
              <w:rPr>
                <w:sz w:val="19"/>
                <w:szCs w:val="19"/>
              </w:rPr>
              <w:t>fast_track_eligible</w:t>
            </w:r>
            <w:proofErr w:type="spellEnd"/>
            <w:r>
              <w:rPr>
                <w:sz w:val="19"/>
                <w:szCs w:val="19"/>
              </w:rPr>
              <w:t xml:space="preserve"> = true.</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path routing (Procurement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Both IT Security and Legal outputs must be present (RESOLVED or RESOLVED-PROVISIONAL). At least one procurement matrix row match required. If no row matches: evidence is insufficient for RESOLVED.</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Checklist completion (Checklist Assembler)</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All three domain agent outputs present and schema-valid. Evidence sufficiency is inherited from upstream determinations.</w:t>
            </w:r>
          </w:p>
        </w:tc>
      </w:tr>
    </w:tbl>
    <w:p w:rsidR="00142DAB" w:rsidRDefault="00C63C6D">
      <w:pPr>
        <w:pStyle w:val="Heading1"/>
        <w:pBdr>
          <w:bottom w:val="single" w:sz="8" w:space="4" w:color="1F3864"/>
        </w:pBdr>
      </w:pPr>
      <w:r>
        <w:t>13. Escalation Ownership</w:t>
      </w:r>
    </w:p>
    <w:p w:rsidR="00142DAB" w:rsidRDefault="00C63C6D">
      <w:pPr>
        <w:spacing w:before="80" w:after="80"/>
      </w:pPr>
      <w:r>
        <w:t>This section governs escalation conditions that are triggered by retrieval or evidence quality issues — speci</w:t>
      </w:r>
      <w:r>
        <w:t>fically, conditions where the evidence layer cannot provide sufficient or unambiguous context for a determination. Workflow routing in response to escalation is governed by the Design Doc (§3). BLOCKED/ESCALATED convention follows §3.2.</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4432"/>
        <w:gridCol w:w="2726"/>
      </w:tblGrid>
      <w:tr w:rsidR="00142DAB">
        <w:tblPrEx>
          <w:tblCellMar>
            <w:top w:w="0" w:type="dxa"/>
            <w:bottom w:w="0" w:type="dxa"/>
          </w:tblCellMar>
        </w:tblPrEx>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EVIDENCE CONDITION</w:t>
            </w:r>
          </w:p>
        </w:tc>
        <w:tc>
          <w:tcPr>
            <w:tcW w:w="3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BLOCKED/ESCALATED CONVENTION</w:t>
            </w:r>
          </w:p>
        </w:tc>
        <w:tc>
          <w:tcPr>
            <w:tcW w:w="3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RESOLUTION OWNER</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Questionnaire not submitted or incomplete</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workflow_state</w:t>
            </w:r>
            <w:proofErr w:type="spellEnd"/>
            <w:r>
              <w:rPr>
                <w:sz w:val="19"/>
                <w:szCs w:val="19"/>
              </w:rPr>
              <w:t xml:space="preserve"> = BLOCKED (no evidence </w:t>
            </w:r>
            <w:proofErr w:type="gramStart"/>
            <w:r>
              <w:rPr>
                <w:sz w:val="19"/>
                <w:szCs w:val="19"/>
              </w:rPr>
              <w:t>base</w:t>
            </w:r>
            <w:proofErr w:type="gramEnd"/>
            <w:r>
              <w:rPr>
                <w:sz w:val="19"/>
                <w:szCs w:val="19"/>
              </w:rPr>
              <w:t xml:space="preserve"> for any determination)</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Multiple questionnaire versions detected</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workflow_state</w:t>
            </w:r>
            <w:proofErr w:type="spellEnd"/>
            <w:r>
              <w:rPr>
                <w:sz w:val="19"/>
                <w:szCs w:val="19"/>
              </w:rPr>
              <w:t xml:space="preserve"> = BLOCKED </w:t>
            </w:r>
            <w:proofErr w:type="spellStart"/>
            <w:r>
              <w:rPr>
                <w:sz w:val="19"/>
                <w:szCs w:val="19"/>
              </w:rPr>
              <w:t>resolution_mode</w:t>
            </w:r>
            <w:proofErr w:type="spellEnd"/>
            <w:r>
              <w:rPr>
                <w:sz w:val="19"/>
                <w:szCs w:val="19"/>
              </w:rPr>
              <w:t xml:space="preserve"> = ESCALATED_TO_PROCUREMENT</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 classification ambiguous (ERP type field unclear)</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insufficient for RESOLVED classification (PROVISIONAL pending field confirmation)</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(K. Whitfield or delegate)</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1 source conflict (policy clause vs. matrix row)</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Evidence conflicting; determination cannot be RESOLVED </w:t>
            </w:r>
            <w:proofErr w:type="spellStart"/>
            <w:r>
              <w:rPr>
                <w:sz w:val="19"/>
                <w:szCs w:val="19"/>
              </w:rPr>
              <w:t>resolution_mode</w:t>
            </w:r>
            <w:proofErr w:type="spellEnd"/>
            <w:r>
              <w:rPr>
                <w:sz w:val="19"/>
                <w:szCs w:val="19"/>
              </w:rPr>
              <w:t xml:space="preserve"> = ESCALATED_TO</w:t>
            </w:r>
            <w:proofErr w:type="gramStart"/>
            <w:r>
              <w:rPr>
                <w:sz w:val="19"/>
                <w:szCs w:val="19"/>
              </w:rPr>
              <w:t>_[</w:t>
            </w:r>
            <w:proofErr w:type="gramEnd"/>
            <w:r>
              <w:rPr>
                <w:sz w:val="19"/>
                <w:szCs w:val="19"/>
              </w:rPr>
              <w:t>both domain owners]</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Both domain owners of conflicting sources</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DPA required but no executed DPA on record</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Evidence supports </w:t>
            </w:r>
            <w:proofErr w:type="spellStart"/>
            <w:r>
              <w:rPr>
                <w:sz w:val="19"/>
                <w:szCs w:val="19"/>
              </w:rPr>
              <w:t>dpa_required</w:t>
            </w:r>
            <w:proofErr w:type="spellEnd"/>
            <w:r>
              <w:rPr>
                <w:sz w:val="19"/>
                <w:szCs w:val="19"/>
              </w:rPr>
              <w:t xml:space="preserve"> = true, </w:t>
            </w:r>
            <w:proofErr w:type="spellStart"/>
            <w:r>
              <w:rPr>
                <w:sz w:val="19"/>
                <w:szCs w:val="19"/>
              </w:rPr>
              <w:t>dpa_blocker</w:t>
            </w:r>
            <w:proofErr w:type="spellEnd"/>
            <w:r>
              <w:rPr>
                <w:sz w:val="19"/>
                <w:szCs w:val="19"/>
              </w:rPr>
              <w:t xml:space="preserve"> = true; determination is RESOLVED on the trigger; the blocker is a workflow consequence</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Legal (General Counsel)</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ERP integration tier unclassified (ISP-001 §12.2 amber row)</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Evidence insufficient for RESOLVED classification (PROVISIONAL; unclassified row creates ambiguity)</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NDA status unconfirmed (ISP-001 §12.1.4)</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insufficient to confirm NDA requirement satisfied (PROVISIONAL on NDA-dependent conditions)</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approval matrix row matches vendor/deal combination</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Evidence insufficient for RESOLVED approval path </w:t>
            </w:r>
            <w:proofErr w:type="spellStart"/>
            <w:r>
              <w:rPr>
                <w:sz w:val="19"/>
                <w:szCs w:val="19"/>
              </w:rPr>
              <w:t>resolution_mode</w:t>
            </w:r>
            <w:proofErr w:type="spellEnd"/>
            <w:r>
              <w:rPr>
                <w:sz w:val="19"/>
                <w:szCs w:val="19"/>
              </w:rPr>
              <w:t xml:space="preserve"> = ESCALATED_TO_PROCUREMENT_DIRECTOR</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Director</w:t>
            </w:r>
          </w:p>
        </w:tc>
      </w:tr>
    </w:tbl>
    <w:p w:rsidR="00142DAB" w:rsidRDefault="00142DAB">
      <w:pPr>
        <w:spacing w:before="100" w:after="100"/>
      </w:pPr>
    </w:p>
    <w:p w:rsidR="00142DAB" w:rsidRDefault="00C63C6D">
      <w:pPr>
        <w:pStyle w:val="Heading2"/>
      </w:pPr>
      <w:r>
        <w:t>13.1 Minimum Escalation Evidence Payload</w:t>
      </w:r>
    </w:p>
    <w:p w:rsidR="00142DAB" w:rsidRDefault="00C63C6D">
      <w:pPr>
        <w:spacing w:before="80" w:after="80"/>
      </w:pPr>
      <w:r>
        <w:t>Every escalation triggered by a retrieval or evidence condition must include these fields in its audit log entry:</w:t>
      </w:r>
    </w:p>
    <w:p w:rsidR="00142DAB" w:rsidRDefault="00C63C6D">
      <w:pPr>
        <w:pStyle w:val="ListParagraph"/>
        <w:numPr>
          <w:ilvl w:val="0"/>
          <w:numId w:val="3"/>
        </w:numPr>
        <w:spacing w:before="40" w:after="40"/>
      </w:pPr>
      <w:proofErr w:type="spellStart"/>
      <w:r>
        <w:t>evidence_condition</w:t>
      </w:r>
      <w:proofErr w:type="spellEnd"/>
      <w:r>
        <w:t xml:space="preserve"> — description of the retrieval or evidence gap that triggered the escalation</w:t>
      </w:r>
    </w:p>
    <w:p w:rsidR="00142DAB" w:rsidRDefault="00C63C6D">
      <w:pPr>
        <w:pStyle w:val="ListParagraph"/>
        <w:numPr>
          <w:ilvl w:val="0"/>
          <w:numId w:val="3"/>
        </w:numPr>
        <w:spacing w:before="40" w:after="40"/>
      </w:pPr>
      <w:proofErr w:type="spellStart"/>
      <w:r>
        <w:t>triggering_agent_id</w:t>
      </w:r>
      <w:proofErr w:type="spellEnd"/>
      <w:r>
        <w:t xml:space="preserve"> — which agent detected the</w:t>
      </w:r>
      <w:r>
        <w:t xml:space="preserve"> condition</w:t>
      </w:r>
    </w:p>
    <w:p w:rsidR="00142DAB" w:rsidRDefault="00C63C6D">
      <w:pPr>
        <w:pStyle w:val="ListParagraph"/>
        <w:numPr>
          <w:ilvl w:val="0"/>
          <w:numId w:val="3"/>
        </w:numPr>
        <w:spacing w:before="40" w:after="40"/>
      </w:pPr>
      <w:proofErr w:type="spellStart"/>
      <w:r>
        <w:t>triggering_source</w:t>
      </w:r>
      <w:proofErr w:type="spellEnd"/>
      <w:r>
        <w:t xml:space="preserve"> — source ID, version, and </w:t>
      </w:r>
      <w:proofErr w:type="spellStart"/>
      <w:r>
        <w:t>chunk_identifier</w:t>
      </w:r>
      <w:proofErr w:type="spellEnd"/>
      <w:r>
        <w:t xml:space="preserve"> of the evidence that is conflicting or absent</w:t>
      </w:r>
    </w:p>
    <w:p w:rsidR="00142DAB" w:rsidRDefault="00C63C6D">
      <w:pPr>
        <w:pStyle w:val="ListParagraph"/>
        <w:numPr>
          <w:ilvl w:val="0"/>
          <w:numId w:val="3"/>
        </w:numPr>
        <w:spacing w:before="40" w:after="40"/>
      </w:pPr>
      <w:proofErr w:type="spellStart"/>
      <w:r>
        <w:t>conflicting_evidence</w:t>
      </w:r>
      <w:proofErr w:type="spellEnd"/>
      <w:r>
        <w:t xml:space="preserve"> — structured summary of both (or all) conflicting chunks (if applicable)</w:t>
      </w:r>
    </w:p>
    <w:p w:rsidR="00142DAB" w:rsidRDefault="00C63C6D">
      <w:pPr>
        <w:pStyle w:val="ListParagraph"/>
        <w:numPr>
          <w:ilvl w:val="0"/>
          <w:numId w:val="3"/>
        </w:numPr>
        <w:spacing w:before="40" w:after="40"/>
      </w:pPr>
      <w:proofErr w:type="spellStart"/>
      <w:r>
        <w:t>resolution_owner</w:t>
      </w:r>
      <w:proofErr w:type="spellEnd"/>
      <w:r>
        <w:t xml:space="preserve"> — role per the table above</w:t>
      </w:r>
    </w:p>
    <w:p w:rsidR="00142DAB" w:rsidRDefault="00C63C6D">
      <w:pPr>
        <w:pStyle w:val="ListParagraph"/>
        <w:numPr>
          <w:ilvl w:val="0"/>
          <w:numId w:val="3"/>
        </w:numPr>
        <w:spacing w:before="40" w:after="40"/>
      </w:pPr>
      <w:proofErr w:type="spellStart"/>
      <w:r>
        <w:t>minimum_evidence_to_resolve</w:t>
      </w:r>
      <w:proofErr w:type="spellEnd"/>
      <w:r>
        <w:t xml:space="preserve"> — what the resolution owner must provide for the evidence condition to clear</w:t>
      </w:r>
    </w:p>
    <w:p w:rsidR="00142DAB" w:rsidRDefault="00C63C6D">
      <w:pPr>
        <w:pStyle w:val="Heading1"/>
        <w:pBdr>
          <w:bottom w:val="single" w:sz="8" w:space="4" w:color="1F3864"/>
        </w:pBdr>
      </w:pPr>
      <w:r>
        <w:t>14. Citation Requirements</w:t>
      </w:r>
    </w:p>
    <w:p w:rsidR="00142DAB" w:rsidRDefault="00C63C6D">
      <w:pPr>
        <w:spacing w:before="80" w:after="80"/>
      </w:pPr>
      <w:r>
        <w:t>Every nontrivial determination must be traceable to the source evidence that supported it. Citations are embedded in agent ou</w:t>
      </w:r>
      <w:r>
        <w:t>tputs, audit log entries, and the final checklist.</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2DAB">
        <w:tblPrEx>
          <w:tblCellMar>
            <w:top w:w="0" w:type="dxa"/>
            <w:bottom w:w="0" w:type="dxa"/>
          </w:tblCellMar>
        </w:tblPrEx>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TYPE</w:t>
            </w:r>
          </w:p>
        </w:tc>
        <w:tc>
          <w:tcPr>
            <w:tcW w:w="6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CITATION REQUIREMENTS</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 classification</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at least one IT Security Policy section (ISP-001, section number, version). If questionnaire field is ambiguous: note the ambiguous field by canonical name. If risk matrix row cited: include row ID and version.</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requirement determination</w:t>
            </w:r>
          </w:p>
        </w:tc>
        <w:tc>
          <w:tcPr>
            <w:tcW w:w="6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PRIMARY: at least one DPA trigger matrix row (DPA-TM-001, row ID, version, trigger condition). SUPPLEMENTARY: upstream classification output reference (</w:t>
            </w:r>
            <w:proofErr w:type="spellStart"/>
            <w:r>
              <w:rPr>
                <w:sz w:val="19"/>
                <w:szCs w:val="19"/>
              </w:rPr>
              <w:t>agent_id</w:t>
            </w:r>
            <w:proofErr w:type="spellEnd"/>
            <w:r>
              <w:rPr>
                <w:sz w:val="19"/>
                <w:szCs w:val="19"/>
              </w:rPr>
              <w:t xml:space="preserve">, </w:t>
            </w:r>
            <w:proofErr w:type="spellStart"/>
            <w:r>
              <w:rPr>
                <w:sz w:val="19"/>
                <w:szCs w:val="19"/>
              </w:rPr>
              <w:t>pipeline_run_id</w:t>
            </w:r>
            <w:proofErr w:type="spellEnd"/>
            <w:r>
              <w:rPr>
                <w:sz w:val="19"/>
                <w:szCs w:val="19"/>
              </w:rPr>
              <w:t>). No Tier 3 or 4 source may be cited as PRIMARY.</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Fast-track eligibility</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IT Security Policy section governing fast-track conditions. Must reference the specific clause.</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path routing</w:t>
            </w:r>
          </w:p>
        </w:tc>
        <w:tc>
          <w:tcPr>
            <w:tcW w:w="6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PRIMARY: procurement approval matrix row (PAM-001, row ID, approval path condition). SUPPLEMENTARY: both upstream domain agent o</w:t>
            </w:r>
            <w:r>
              <w:rPr>
                <w:sz w:val="19"/>
                <w:szCs w:val="19"/>
              </w:rPr>
              <w:t xml:space="preserve">utputs cited by </w:t>
            </w:r>
            <w:proofErr w:type="spellStart"/>
            <w:r>
              <w:rPr>
                <w:sz w:val="19"/>
                <w:szCs w:val="19"/>
              </w:rPr>
              <w:t>agent_id</w:t>
            </w:r>
            <w:proofErr w:type="spellEnd"/>
            <w:r>
              <w:rPr>
                <w:sz w:val="19"/>
                <w:szCs w:val="19"/>
              </w:rPr>
              <w:t>. Tier 4 note permitted as SUPPLEMENTARY only if non-conflicting.</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Blocker identification</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the authoritative source that creates the blocker condition (e.g., ISP-001 §12.1.4 for NDA confirmation). Free-text blockers without source citations are not permitted.</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PROVISIONAL flagging</w:t>
            </w:r>
          </w:p>
        </w:tc>
        <w:tc>
          <w:tcPr>
            <w:tcW w:w="6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The source or field triggering the PROVISIONAL flag must be identified by </w:t>
            </w:r>
            <w:proofErr w:type="spellStart"/>
            <w:r>
              <w:rPr>
                <w:sz w:val="19"/>
                <w:szCs w:val="19"/>
              </w:rPr>
              <w:t>source_id</w:t>
            </w:r>
            <w:proofErr w:type="spellEnd"/>
            <w:r>
              <w:rPr>
                <w:sz w:val="19"/>
                <w:szCs w:val="19"/>
              </w:rPr>
              <w:t xml:space="preserve">, version, and </w:t>
            </w:r>
            <w:proofErr w:type="spellStart"/>
            <w:r>
              <w:rPr>
                <w:sz w:val="19"/>
                <w:szCs w:val="19"/>
              </w:rPr>
              <w:t>chunk_identifier</w:t>
            </w:r>
            <w:proofErr w:type="spellEnd"/>
            <w:r>
              <w:rPr>
                <w:sz w:val="19"/>
                <w:szCs w:val="19"/>
              </w:rPr>
              <w:t xml:space="preserve"> (or field path). The provisional condition must be stated explicitly, not as a general disclaimer.</w:t>
            </w:r>
          </w:p>
        </w:tc>
      </w:tr>
      <w:tr w:rsidR="00142DAB">
        <w:tblPrEx>
          <w:tblCellMar>
            <w:top w:w="0" w:type="dxa"/>
            <w:bottom w:w="0" w:type="dxa"/>
          </w:tblCellMar>
        </w:tblPrEx>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ESCALATED finding</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Both (or all) conflicti</w:t>
            </w:r>
            <w:r>
              <w:rPr>
                <w:sz w:val="19"/>
                <w:szCs w:val="19"/>
              </w:rPr>
              <w:t xml:space="preserve">ng sources must be cited with their </w:t>
            </w:r>
            <w:proofErr w:type="spellStart"/>
            <w:r>
              <w:rPr>
                <w:sz w:val="19"/>
                <w:szCs w:val="19"/>
              </w:rPr>
              <w:t>chunk_identifiers</w:t>
            </w:r>
            <w:proofErr w:type="spellEnd"/>
            <w:r>
              <w:rPr>
                <w:sz w:val="19"/>
                <w:szCs w:val="19"/>
              </w:rPr>
              <w:t>. The escalation payload must describe the specific conflict, not a general description.</w:t>
            </w:r>
          </w:p>
        </w:tc>
      </w:tr>
    </w:tbl>
    <w:p w:rsidR="00142DAB" w:rsidRDefault="00142DAB">
      <w:pPr>
        <w:spacing w:before="100" w:after="100"/>
      </w:pPr>
    </w:p>
    <w:p w:rsidR="00142DAB" w:rsidRDefault="00C63C6D">
      <w:pPr>
        <w:pStyle w:val="Heading2"/>
      </w:pPr>
      <w:r>
        <w:t>14.1 Audit Log Citation Requirements by Event Type</w:t>
      </w:r>
    </w:p>
    <w:p w:rsidR="00142DAB" w:rsidRDefault="00C63C6D">
      <w:pPr>
        <w:spacing w:before="80" w:after="80"/>
      </w:pPr>
      <w:r>
        <w:t>Every audit log entry must include citations per Design Doc §10 schema. The following requirements augment that schema by event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 xml:space="preserve">AUDIT LOG </w:t>
            </w:r>
            <w:proofErr w:type="spellStart"/>
            <w:r>
              <w:rPr>
                <w:b/>
                <w:bCs/>
                <w:color w:val="FFFFFF"/>
                <w:sz w:val="19"/>
                <w:szCs w:val="19"/>
              </w:rPr>
              <w:t>event_type</w:t>
            </w:r>
            <w:proofErr w:type="spellEnd"/>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CITATION REQUIREMENT</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RETRIEVAL</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List all sources queried, method used (hybrid / direct / row-targeted), chunks returned (</w:t>
            </w:r>
            <w:proofErr w:type="spellStart"/>
            <w:r>
              <w:rPr>
                <w:sz w:val="19"/>
                <w:szCs w:val="19"/>
              </w:rPr>
              <w:t>chunk_identifier</w:t>
            </w:r>
            <w:proofErr w:type="spellEnd"/>
            <w:r>
              <w:rPr>
                <w:sz w:val="19"/>
                <w:szCs w:val="19"/>
              </w:rPr>
              <w:t xml:space="preserve">, </w:t>
            </w:r>
            <w:proofErr w:type="spellStart"/>
            <w:r>
              <w:rPr>
                <w:sz w:val="19"/>
                <w:szCs w:val="19"/>
              </w:rPr>
              <w:t>retrieval_score</w:t>
            </w:r>
            <w:proofErr w:type="spellEnd"/>
            <w:r>
              <w:rPr>
                <w:sz w:val="19"/>
                <w:szCs w:val="19"/>
              </w:rPr>
              <w:t>), chunks admitted to bundle, chunks excluded (with reason: INCOMPLETE_PROVENANCE / AUTHORITY_SUPPRESSED / BUDGET_CONSTRAINED / ACCESS</w:t>
            </w:r>
            <w:r>
              <w:rPr>
                <w:sz w:val="19"/>
                <w:szCs w:val="19"/>
              </w:rPr>
              <w:t>_DENIED).</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DETERMINATION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Full citation per the determination-type rules in §14 above. Each cited piece of evidence must carry all provenance fields from §8.</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STATUS_CHANGE</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 xml:space="preserve">Reference to the triggering determination or retrieval event. For PROVISIONAL: the source or field that triggered the evidence flag. For ESCALATED: both conflicting sources with </w:t>
            </w:r>
            <w:proofErr w:type="spellStart"/>
            <w:r>
              <w:rPr>
                <w:sz w:val="19"/>
                <w:szCs w:val="19"/>
              </w:rPr>
              <w:t>chunk_identifiers</w:t>
            </w:r>
            <w:proofErr w:type="spellEnd"/>
            <w:r>
              <w:rPr>
                <w:sz w:val="19"/>
                <w:szCs w:val="19"/>
              </w:rPr>
              <w:t>. For BLOCKED: the missing required evidence type.</w:t>
            </w:r>
          </w:p>
        </w:tc>
      </w:tr>
      <w:tr w:rsidR="00142DAB">
        <w:tblPrEx>
          <w:tblCellMar>
            <w:top w:w="0" w:type="dxa"/>
            <w:bottom w:w="0" w:type="dxa"/>
          </w:tblCellMar>
        </w:tblPrEx>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ESCALATION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Full escalation payload per §13.1 including </w:t>
            </w:r>
            <w:proofErr w:type="spellStart"/>
            <w:r>
              <w:rPr>
                <w:sz w:val="19"/>
                <w:szCs w:val="19"/>
              </w:rPr>
              <w:t>triggering_source</w:t>
            </w:r>
            <w:proofErr w:type="spellEnd"/>
            <w:r>
              <w:rPr>
                <w:sz w:val="19"/>
                <w:szCs w:val="19"/>
              </w:rPr>
              <w:t xml:space="preserve"> and </w:t>
            </w:r>
            <w:proofErr w:type="spellStart"/>
            <w:r>
              <w:rPr>
                <w:sz w:val="19"/>
                <w:szCs w:val="19"/>
              </w:rPr>
              <w:t>conflicting_evidence</w:t>
            </w:r>
            <w:proofErr w:type="spellEnd"/>
            <w:r>
              <w:rPr>
                <w:sz w:val="19"/>
                <w:szCs w:val="19"/>
              </w:rPr>
              <w:t xml:space="preserve"> with </w:t>
            </w:r>
            <w:proofErr w:type="spellStart"/>
            <w:r>
              <w:rPr>
                <w:sz w:val="19"/>
                <w:szCs w:val="19"/>
              </w:rPr>
              <w:t>chunk_identifiers</w:t>
            </w:r>
            <w:proofErr w:type="spellEnd"/>
            <w:r>
              <w:rPr>
                <w:sz w:val="19"/>
                <w:szCs w:val="19"/>
              </w:rPr>
              <w:t>.</w:t>
            </w:r>
          </w:p>
        </w:tc>
      </w:tr>
    </w:tbl>
    <w:p w:rsidR="00142DAB" w:rsidRDefault="00142DAB">
      <w:pPr>
        <w:spacing w:before="100" w:after="100"/>
      </w:pPr>
    </w:p>
    <w:p w:rsidR="00142DAB" w:rsidRDefault="00C63C6D">
      <w:pPr>
        <w:pStyle w:val="Heading2"/>
      </w:pPr>
      <w:r>
        <w:t>14.2 Audit Log Event Triggers</w:t>
      </w:r>
    </w:p>
    <w:p w:rsidR="00142DAB" w:rsidRDefault="00C63C6D">
      <w:pPr>
        <w:spacing w:before="80" w:after="80"/>
      </w:pPr>
      <w:r>
        <w:t>The following events are audit-worthy and must produce an audit log entry:</w:t>
      </w:r>
    </w:p>
    <w:p w:rsidR="00142DAB" w:rsidRDefault="00C63C6D">
      <w:pPr>
        <w:pStyle w:val="ListParagraph"/>
        <w:numPr>
          <w:ilvl w:val="0"/>
          <w:numId w:val="3"/>
        </w:numPr>
        <w:spacing w:before="40" w:after="40"/>
      </w:pPr>
      <w:r>
        <w:t>Every retrieval query attempt against any index endpoint</w:t>
      </w:r>
    </w:p>
    <w:p w:rsidR="00142DAB" w:rsidRDefault="00C63C6D">
      <w:pPr>
        <w:pStyle w:val="ListParagraph"/>
        <w:numPr>
          <w:ilvl w:val="0"/>
          <w:numId w:val="3"/>
        </w:numPr>
        <w:spacing w:before="40" w:after="40"/>
      </w:pPr>
      <w:r>
        <w:t>Every chunk admitted to a final context bundle</w:t>
      </w:r>
    </w:p>
    <w:p w:rsidR="00142DAB" w:rsidRDefault="00C63C6D">
      <w:pPr>
        <w:pStyle w:val="ListParagraph"/>
        <w:numPr>
          <w:ilvl w:val="0"/>
          <w:numId w:val="3"/>
        </w:numPr>
        <w:spacing w:before="40" w:after="40"/>
      </w:pPr>
      <w:r>
        <w:t>Every chunk excluded due to access control, authority suppression, provenance incompleteness, or budget constraint</w:t>
      </w:r>
    </w:p>
    <w:p w:rsidR="00142DAB" w:rsidRDefault="00C63C6D">
      <w:pPr>
        <w:pStyle w:val="ListParagraph"/>
        <w:numPr>
          <w:ilvl w:val="0"/>
          <w:numId w:val="3"/>
        </w:numPr>
        <w:spacing w:before="40" w:after="40"/>
      </w:pPr>
      <w:r>
        <w:t>Every evidence-layer status change: P</w:t>
      </w:r>
      <w:r>
        <w:t>ROVISIONAL flag set or cleared, ESCALATED condition identified, BLOCKED condition identified</w:t>
      </w:r>
    </w:p>
    <w:p w:rsidR="00142DAB" w:rsidRDefault="00C63C6D">
      <w:pPr>
        <w:pStyle w:val="ListParagraph"/>
        <w:numPr>
          <w:ilvl w:val="0"/>
          <w:numId w:val="3"/>
        </w:numPr>
        <w:spacing w:before="40" w:after="40"/>
      </w:pPr>
      <w:r>
        <w:t>Every determination emitted by a domain agent</w:t>
      </w:r>
    </w:p>
    <w:p w:rsidR="00142DAB" w:rsidRDefault="00C63C6D">
      <w:pPr>
        <w:pStyle w:val="Heading1"/>
        <w:pBdr>
          <w:bottom w:val="single" w:sz="8" w:space="4" w:color="1F3864"/>
        </w:pBdr>
      </w:pPr>
      <w:r>
        <w:t>15. Source Normalization and Canonical Field Mapping</w:t>
      </w:r>
    </w:p>
    <w:p w:rsidR="00142DAB" w:rsidRDefault="00C63C6D">
      <w:pPr>
        <w:spacing w:before="80" w:after="80"/>
      </w:pPr>
      <w:r>
        <w:t xml:space="preserve">The pipeline operates across sources with different schemas, naming conventions, and formats. The canonical field map below defines the authoritative names for key concepts across all source types. Agents and the orchestration layer use canonical names in </w:t>
      </w:r>
      <w:r>
        <w:t>outputs and audit log entries, not source-native names.</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2447"/>
        <w:gridCol w:w="1657"/>
        <w:gridCol w:w="3082"/>
      </w:tblGrid>
      <w:tr w:rsidR="00142DAB">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lastRenderedPageBreak/>
              <w:t>CANONICAL FIELD</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DEFINITION</w:t>
            </w:r>
          </w:p>
        </w:tc>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PRIMARY SOURCE</w:t>
            </w:r>
          </w:p>
        </w:tc>
        <w:tc>
          <w:tcPr>
            <w:tcW w:w="3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SOURCE-NATIVE EQUIVALENTS</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vendor_name</w:t>
            </w:r>
            <w:proofErr w:type="spellEnd"/>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Legal name of the software vendor</w:t>
            </w:r>
          </w:p>
        </w:tc>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VQ-OC-001</w:t>
            </w:r>
          </w:p>
        </w:tc>
        <w:tc>
          <w:tcPr>
            <w:tcW w:w="31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vendor_name</w:t>
            </w:r>
            <w:proofErr w:type="spellEnd"/>
            <w:r>
              <w:rPr>
                <w:sz w:val="19"/>
                <w:szCs w:val="19"/>
              </w:rPr>
              <w:t xml:space="preserve"> (JSON); "Vendor" (matrix rows); "third party" (ISP-001 §12)</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integration_type</w:t>
            </w:r>
            <w:proofErr w:type="spellEnd"/>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How </w:t>
            </w:r>
            <w:proofErr w:type="spellStart"/>
            <w:r>
              <w:rPr>
                <w:sz w:val="19"/>
                <w:szCs w:val="19"/>
              </w:rPr>
              <w:t>OptiChain</w:t>
            </w:r>
            <w:proofErr w:type="spellEnd"/>
            <w:r>
              <w:rPr>
                <w:sz w:val="19"/>
                <w:szCs w:val="19"/>
              </w:rPr>
              <w:t xml:space="preserve"> connects to Lichen systems (direct ERP vs. export-only)</w:t>
            </w:r>
          </w:p>
        </w:tc>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31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integration_details.erp_type</w:t>
            </w:r>
            <w:proofErr w:type="spellEnd"/>
            <w:r>
              <w:rPr>
                <w:sz w:val="19"/>
                <w:szCs w:val="19"/>
              </w:rPr>
              <w:t xml:space="preserve"> (JSON); "Integration Method" (ISP-001 §12.2 table)</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regulated_data_flag</w:t>
            </w:r>
            <w:proofErr w:type="spellEnd"/>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Boolean: does the integration involve regulated or sensitive data?</w:t>
            </w:r>
          </w:p>
        </w:tc>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w:t>
            </w:r>
          </w:p>
        </w:tc>
        <w:tc>
          <w:tcPr>
            <w:tcW w:w="31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data_classification_self_reported</w:t>
            </w:r>
            <w:proofErr w:type="spellEnd"/>
            <w:r>
              <w:rPr>
                <w:sz w:val="19"/>
                <w:szCs w:val="19"/>
              </w:rPr>
              <w:t xml:space="preserve"> (VQ); ERP tier classification (ISP-001 §12.2)</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eu_personal_data_flag</w:t>
            </w:r>
            <w:proofErr w:type="spellEnd"/>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Boolean: does the integration involve EU personal data subject to GDPR?</w:t>
            </w:r>
          </w:p>
        </w:tc>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31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data_subjects_eu</w:t>
            </w:r>
            <w:proofErr w:type="spellEnd"/>
            <w:r>
              <w:rPr>
                <w:sz w:val="19"/>
                <w:szCs w:val="19"/>
              </w:rPr>
              <w:t xml:space="preserve"> (JSON); "EU Data Subjects" (DPA-TM-001 trigger column)</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nda_status</w:t>
            </w:r>
            <w:proofErr w:type="spellEnd"/>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NDA status: EXECUTED | PENDING | NOT_STARTED | UNKNOWN</w:t>
            </w:r>
          </w:p>
        </w:tc>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VQ-OC-001</w:t>
            </w:r>
          </w:p>
        </w:tc>
        <w:tc>
          <w:tcPr>
            <w:tcW w:w="31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existing_nda_status</w:t>
            </w:r>
            <w:proofErr w:type="spellEnd"/>
            <w:r>
              <w:rPr>
                <w:sz w:val="19"/>
                <w:szCs w:val="19"/>
              </w:rPr>
              <w:t xml:space="preserve"> (JSON); NDA confirmation clause (ISP-001 §12.1.4)</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dpa_required</w:t>
            </w:r>
            <w:proofErr w:type="spellEnd"/>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Boolean: does a Data Processing Agreement need to be executed?</w:t>
            </w:r>
          </w:p>
        </w:tc>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 output</w:t>
            </w:r>
          </w:p>
        </w:tc>
        <w:tc>
          <w:tcPr>
            <w:tcW w:w="31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dpa_required</w:t>
            </w:r>
            <w:proofErr w:type="spellEnd"/>
            <w:r>
              <w:rPr>
                <w:sz w:val="19"/>
                <w:szCs w:val="19"/>
              </w:rPr>
              <w:t xml:space="preserve"> (DPA-TM-001 trigger column)</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approval_path</w:t>
            </w:r>
            <w:proofErr w:type="spellEnd"/>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Routing outcome: STANDARD | FAST_TRACK | EXECUTIVE_APPROVAL</w:t>
            </w:r>
          </w:p>
        </w:tc>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Agent output</w:t>
            </w:r>
          </w:p>
        </w:tc>
        <w:tc>
          <w:tcPr>
            <w:tcW w:w="31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approval_path</w:t>
            </w:r>
            <w:proofErr w:type="spellEnd"/>
            <w:r>
              <w:rPr>
                <w:sz w:val="19"/>
                <w:szCs w:val="19"/>
              </w:rPr>
              <w:t xml:space="preserve"> (PAM-001 rows); "Approval Route" (Procurement matrix)</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vendor_class</w:t>
            </w:r>
            <w:proofErr w:type="spellEnd"/>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classification: TIER_1 | TIER_2 | TIER_3</w:t>
            </w:r>
          </w:p>
        </w:tc>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 / PAM-001</w:t>
            </w:r>
          </w:p>
        </w:tc>
        <w:tc>
          <w:tcPr>
            <w:tcW w:w="31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vendor_class</w:t>
            </w:r>
            <w:proofErr w:type="spellEnd"/>
            <w:r>
              <w:rPr>
                <w:sz w:val="19"/>
                <w:szCs w:val="19"/>
              </w:rPr>
              <w:t xml:space="preserve"> (JSON); "Vendor Tier" (PAM-001)</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deal_size</w:t>
            </w:r>
            <w:proofErr w:type="spellEnd"/>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Annualized contract value in USD</w:t>
            </w:r>
          </w:p>
        </w:tc>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VQ-OC-001</w:t>
            </w:r>
          </w:p>
        </w:tc>
        <w:tc>
          <w:tcPr>
            <w:tcW w:w="31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contract_value_annual</w:t>
            </w:r>
            <w:proofErr w:type="spellEnd"/>
            <w:r>
              <w:rPr>
                <w:sz w:val="19"/>
                <w:szCs w:val="19"/>
              </w:rPr>
              <w:t xml:space="preserve"> (JSON); "Deal Value" (PAM-001)</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data_classification</w:t>
            </w:r>
            <w:proofErr w:type="spellEnd"/>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 Agent output: REGULATED | UNREGULATED | AMBIGUOUS</w:t>
            </w:r>
          </w:p>
        </w:tc>
        <w:tc>
          <w:tcPr>
            <w:tcW w:w="2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 Agent output</w:t>
            </w:r>
          </w:p>
        </w:tc>
        <w:tc>
          <w:tcPr>
            <w:tcW w:w="31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proofErr w:type="spellStart"/>
            <w:r>
              <w:rPr>
                <w:sz w:val="19"/>
                <w:szCs w:val="19"/>
              </w:rPr>
              <w:t>data_classification_self_reported</w:t>
            </w:r>
            <w:proofErr w:type="spellEnd"/>
            <w:r>
              <w:rPr>
                <w:sz w:val="19"/>
                <w:szCs w:val="19"/>
              </w:rPr>
              <w:t xml:space="preserve"> (VQ); ERP integration tier (ISP-001 §12.2)</w:t>
            </w:r>
          </w:p>
        </w:tc>
      </w:tr>
      <w:tr w:rsidR="00142DAB">
        <w:tblPrEx>
          <w:tblCellMar>
            <w:top w:w="0" w:type="dxa"/>
            <w:bottom w:w="0" w:type="dxa"/>
          </w:tblCellMar>
        </w:tblPrEx>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fast_track_eligible</w:t>
            </w:r>
            <w:proofErr w:type="spellEnd"/>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Boolean: eligible for expedited onboarding?</w:t>
            </w:r>
          </w:p>
        </w:tc>
        <w:tc>
          <w:tcPr>
            <w:tcW w:w="2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w:t>
            </w:r>
          </w:p>
        </w:tc>
        <w:tc>
          <w:tcPr>
            <w:tcW w:w="31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proofErr w:type="spellStart"/>
            <w:r>
              <w:rPr>
                <w:sz w:val="19"/>
                <w:szCs w:val="19"/>
              </w:rPr>
              <w:t>fast_track</w:t>
            </w:r>
            <w:proofErr w:type="spellEnd"/>
            <w:r>
              <w:rPr>
                <w:sz w:val="19"/>
                <w:szCs w:val="19"/>
              </w:rPr>
              <w:t xml:space="preserve"> flag (VQ); expedited route conditions (PAM-001)</w:t>
            </w:r>
          </w:p>
        </w:tc>
      </w:tr>
    </w:tbl>
    <w:p w:rsidR="00142DAB" w:rsidRDefault="00C63C6D">
      <w:pPr>
        <w:pStyle w:val="Heading1"/>
        <w:pBdr>
          <w:bottom w:val="single" w:sz="8" w:space="4" w:color="1F3864"/>
        </w:pBdr>
      </w:pPr>
      <w:r>
        <w:t>16. Contract Lock and Change Protocol</w:t>
      </w:r>
    </w:p>
    <w:p w:rsidR="00142DAB" w:rsidRDefault="00C63C6D">
      <w:pPr>
        <w:spacing w:before="80" w:after="80"/>
      </w:pPr>
      <w:r>
        <w:t>The Context Contract is locked at pipeline initialization. Once a run has begun, this contract version governs that run through completion. Mid-run changes are not permitted.</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SCENARIO</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PROTOCOL</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Contract change between runs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New contract version issued (CC-001 vN+1). Version Log updated. In-flight runs complete against the version on which they were initialized.</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authority ruling changes</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Requires contract version increment. New version reviewed by all owning roles before taking effect.</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New source added to pipeline</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Requires contract version increment. New source must receive source ID, retrieval lane assignment, freshness policy entry, and</w:t>
            </w:r>
            <w:r>
              <w:rPr>
                <w:sz w:val="19"/>
                <w:szCs w:val="19"/>
              </w:rPr>
              <w:t xml:space="preserve"> endpoint permission mapping.</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removed from pipeline</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Requires contract version increment. Existing runs complete under prior version.</w:t>
            </w:r>
          </w:p>
        </w:tc>
      </w:tr>
      <w:tr w:rsidR="00142DAB">
        <w:tblPrEx>
          <w:tblCellMar>
            <w:top w:w="0" w:type="dxa"/>
            <w:bottom w:w="0" w:type="dxa"/>
          </w:tblCellMar>
        </w:tblPrEx>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Emergency mid-run correction (source version error)</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Pipeline is halted. The run is invalidated. A corrected run is initiated under a new or re-confirmed manifest entry. The invalidated run is retained in the audit log with status: INVALIDATED.</w:t>
            </w:r>
          </w:p>
        </w:tc>
      </w:tr>
    </w:tbl>
    <w:p w:rsidR="00142DAB" w:rsidRDefault="00C63C6D">
      <w:pPr>
        <w:pStyle w:val="Heading1"/>
        <w:pBdr>
          <w:bottom w:val="single" w:sz="8" w:space="4" w:color="1F3864"/>
        </w:pBdr>
      </w:pPr>
      <w:r>
        <w:t>17. Version Log</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400"/>
        <w:gridCol w:w="4360"/>
      </w:tblGrid>
      <w:tr w:rsidR="00142DAB">
        <w:tblPrEx>
          <w:tblCellMar>
            <w:top w:w="0" w:type="dxa"/>
            <w:bottom w:w="0" w:type="dxa"/>
          </w:tblCellMar>
        </w:tblPrEx>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DATE</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AUTHOR</w:t>
            </w:r>
          </w:p>
        </w:tc>
        <w:tc>
          <w:tcPr>
            <w:tcW w:w="4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CHANGE</w:t>
            </w:r>
          </w:p>
        </w:tc>
      </w:tr>
      <w:tr w:rsidR="00142DAB">
        <w:tblPrEx>
          <w:tblCellMar>
            <w:top w:w="0" w:type="dxa"/>
            <w:bottom w:w="0" w:type="dxa"/>
          </w:tblCellMar>
        </w:tblPrEx>
        <w:tc>
          <w:tcPr>
            <w:tcW w:w="1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v1.0 (Draft)</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April 6,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Architecture / Legal / Procurement</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Initial draft. All governance sections established.</w:t>
            </w:r>
          </w:p>
        </w:tc>
      </w:tr>
      <w:tr w:rsidR="00142DAB">
        <w:tblPrEx>
          <w:tblCellMar>
            <w:top w:w="0" w:type="dxa"/>
            <w:bottom w:w="0" w:type="dxa"/>
          </w:tblCellMar>
        </w:tblPrEx>
        <w:tc>
          <w:tcPr>
            <w:tcW w:w="1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v1.1 (Draft)</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April 7, 2026</w:t>
            </w:r>
          </w:p>
        </w:tc>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Revised: (1) orchestration behavior removed to Design Doc / Agent Spec boundary; (2) PROVISIONAL established as first-class pipeline status; (3) BLOCKED vs. ESCALATED unified convention introduced in §3.2 and applied consistently; (4) Tier 1 label updated </w:t>
            </w:r>
            <w:r>
              <w:rPr>
                <w:sz w:val="19"/>
                <w:szCs w:val="19"/>
              </w:rPr>
              <w:t>to "Formal Governing Sources"; (5) matrix retrieval phrasing standardized to row-targeted hybrid; (6) Checkoff Agent downstream-only access rule made explicit; (7) executive navigation section added; (8) bundle composition reframed as admissibility (eviden</w:t>
            </w:r>
            <w:r>
              <w:rPr>
                <w:sz w:val="19"/>
                <w:szCs w:val="19"/>
              </w:rPr>
              <w:t>ce threshold) not orchestration behavior.</w:t>
            </w:r>
          </w:p>
        </w:tc>
      </w:tr>
    </w:tbl>
    <w:p w:rsidR="00C63C6D" w:rsidRDefault="00C63C6D"/>
    <w:sectPr w:rsidR="00C63C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3C6D" w:rsidRDefault="00C63C6D">
      <w:r>
        <w:separator/>
      </w:r>
    </w:p>
  </w:endnote>
  <w:endnote w:type="continuationSeparator" w:id="0">
    <w:p w:rsidR="00C63C6D" w:rsidRDefault="00C63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2DAB" w:rsidRDefault="00C63C6D">
    <w:pPr>
      <w:pBdr>
        <w:top w:val="single" w:sz="4" w:space="4" w:color="BDD0E9"/>
      </w:pBdr>
      <w:spacing w:before="80"/>
      <w:jc w:val="right"/>
    </w:pPr>
    <w:r>
      <w:rPr>
        <w:color w:val="595959"/>
        <w:sz w:val="16"/>
        <w:szCs w:val="16"/>
      </w:rPr>
      <w:t xml:space="preserve">CONFIDENTIAL — FOR INTERNAL USE ONLY     </w:t>
    </w:r>
    <w:r>
      <w:rPr>
        <w:color w:val="595959"/>
        <w:sz w:val="16"/>
        <w:szCs w:val="16"/>
      </w:rPr>
      <w:fldChar w:fldCharType="begin"/>
    </w:r>
    <w:r>
      <w:rPr>
        <w:color w:val="595959"/>
        <w:sz w:val="16"/>
        <w:szCs w:val="16"/>
      </w:rPr>
      <w:instrText>PAGE</w:instrText>
    </w:r>
    <w:r w:rsidR="00553488">
      <w:rPr>
        <w:color w:val="595959"/>
        <w:sz w:val="16"/>
        <w:szCs w:val="16"/>
      </w:rPr>
      <w:fldChar w:fldCharType="separate"/>
    </w:r>
    <w:r w:rsidR="0055348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553488">
      <w:rPr>
        <w:color w:val="595959"/>
        <w:sz w:val="16"/>
        <w:szCs w:val="16"/>
      </w:rPr>
      <w:fldChar w:fldCharType="separate"/>
    </w:r>
    <w:r w:rsidR="0055348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3C6D" w:rsidRDefault="00C63C6D">
      <w:r>
        <w:separator/>
      </w:r>
    </w:p>
  </w:footnote>
  <w:footnote w:type="continuationSeparator" w:id="0">
    <w:p w:rsidR="00C63C6D" w:rsidRDefault="00C63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2DAB" w:rsidRDefault="00C63C6D">
    <w:pPr>
      <w:pBdr>
        <w:bottom w:val="single" w:sz="4" w:space="4" w:color="BDD0E9"/>
      </w:pBdr>
      <w:spacing w:after="80"/>
    </w:pPr>
    <w:r>
      <w:rPr>
        <w:color w:val="595959"/>
        <w:sz w:val="16"/>
        <w:szCs w:val="16"/>
      </w:rPr>
      <w:t xml:space="preserve">LICHEN </w:t>
    </w:r>
    <w:proofErr w:type="gramStart"/>
    <w:r>
      <w:rPr>
        <w:color w:val="595959"/>
        <w:sz w:val="16"/>
        <w:szCs w:val="16"/>
      </w:rPr>
      <w:t>MANUFACTURING  —</w:t>
    </w:r>
    <w:proofErr w:type="gramEnd"/>
    <w:r>
      <w:rPr>
        <w:color w:val="595959"/>
        <w:sz w:val="16"/>
        <w:szCs w:val="16"/>
      </w:rPr>
      <w:t xml:space="preserve">  Context Contract CC-001 v1.1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C74D2"/>
    <w:multiLevelType w:val="hybridMultilevel"/>
    <w:tmpl w:val="BEF089BA"/>
    <w:lvl w:ilvl="0" w:tplc="1C86879A">
      <w:start w:val="1"/>
      <w:numFmt w:val="decimal"/>
      <w:lvlText w:val="%1."/>
      <w:lvlJc w:val="left"/>
      <w:pPr>
        <w:ind w:left="720" w:hanging="360"/>
      </w:pPr>
    </w:lvl>
    <w:lvl w:ilvl="1" w:tplc="9D88F9D2">
      <w:numFmt w:val="decimal"/>
      <w:lvlText w:val=""/>
      <w:lvlJc w:val="left"/>
    </w:lvl>
    <w:lvl w:ilvl="2" w:tplc="A55AF902">
      <w:numFmt w:val="decimal"/>
      <w:lvlText w:val=""/>
      <w:lvlJc w:val="left"/>
    </w:lvl>
    <w:lvl w:ilvl="3" w:tplc="626A1520">
      <w:numFmt w:val="decimal"/>
      <w:lvlText w:val=""/>
      <w:lvlJc w:val="left"/>
    </w:lvl>
    <w:lvl w:ilvl="4" w:tplc="DDA6D16E">
      <w:numFmt w:val="decimal"/>
      <w:lvlText w:val=""/>
      <w:lvlJc w:val="left"/>
    </w:lvl>
    <w:lvl w:ilvl="5" w:tplc="FC5AA758">
      <w:numFmt w:val="decimal"/>
      <w:lvlText w:val=""/>
      <w:lvlJc w:val="left"/>
    </w:lvl>
    <w:lvl w:ilvl="6" w:tplc="7C8A2DAE">
      <w:numFmt w:val="decimal"/>
      <w:lvlText w:val=""/>
      <w:lvlJc w:val="left"/>
    </w:lvl>
    <w:lvl w:ilvl="7" w:tplc="C3FC45CE">
      <w:numFmt w:val="decimal"/>
      <w:lvlText w:val=""/>
      <w:lvlJc w:val="left"/>
    </w:lvl>
    <w:lvl w:ilvl="8" w:tplc="5AAE36D0">
      <w:numFmt w:val="decimal"/>
      <w:lvlText w:val=""/>
      <w:lvlJc w:val="left"/>
    </w:lvl>
  </w:abstractNum>
  <w:abstractNum w:abstractNumId="1" w15:restartNumberingAfterBreak="0">
    <w:nsid w:val="1AB965CE"/>
    <w:multiLevelType w:val="hybridMultilevel"/>
    <w:tmpl w:val="A20E9354"/>
    <w:lvl w:ilvl="0" w:tplc="9BB4E038">
      <w:start w:val="1"/>
      <w:numFmt w:val="bullet"/>
      <w:lvlText w:val="•"/>
      <w:lvlJc w:val="left"/>
      <w:pPr>
        <w:ind w:left="720" w:hanging="360"/>
      </w:pPr>
    </w:lvl>
    <w:lvl w:ilvl="1" w:tplc="6BE4766C">
      <w:numFmt w:val="decimal"/>
      <w:lvlText w:val=""/>
      <w:lvlJc w:val="left"/>
    </w:lvl>
    <w:lvl w:ilvl="2" w:tplc="B3485610">
      <w:numFmt w:val="decimal"/>
      <w:lvlText w:val=""/>
      <w:lvlJc w:val="left"/>
    </w:lvl>
    <w:lvl w:ilvl="3" w:tplc="FAC27B2C">
      <w:numFmt w:val="decimal"/>
      <w:lvlText w:val=""/>
      <w:lvlJc w:val="left"/>
    </w:lvl>
    <w:lvl w:ilvl="4" w:tplc="EEAA7A66">
      <w:numFmt w:val="decimal"/>
      <w:lvlText w:val=""/>
      <w:lvlJc w:val="left"/>
    </w:lvl>
    <w:lvl w:ilvl="5" w:tplc="195C30C6">
      <w:numFmt w:val="decimal"/>
      <w:lvlText w:val=""/>
      <w:lvlJc w:val="left"/>
    </w:lvl>
    <w:lvl w:ilvl="6" w:tplc="9198FF62">
      <w:numFmt w:val="decimal"/>
      <w:lvlText w:val=""/>
      <w:lvlJc w:val="left"/>
    </w:lvl>
    <w:lvl w:ilvl="7" w:tplc="E8B2AC84">
      <w:numFmt w:val="decimal"/>
      <w:lvlText w:val=""/>
      <w:lvlJc w:val="left"/>
    </w:lvl>
    <w:lvl w:ilvl="8" w:tplc="E4AC3ACC">
      <w:numFmt w:val="decimal"/>
      <w:lvlText w:val=""/>
      <w:lvlJc w:val="left"/>
    </w:lvl>
  </w:abstractNum>
  <w:abstractNum w:abstractNumId="2" w15:restartNumberingAfterBreak="0">
    <w:nsid w:val="7F0C47EC"/>
    <w:multiLevelType w:val="hybridMultilevel"/>
    <w:tmpl w:val="CD3893C4"/>
    <w:lvl w:ilvl="0" w:tplc="6DAE3F78">
      <w:start w:val="1"/>
      <w:numFmt w:val="bullet"/>
      <w:lvlText w:val="●"/>
      <w:lvlJc w:val="left"/>
      <w:pPr>
        <w:ind w:left="720" w:hanging="360"/>
      </w:pPr>
    </w:lvl>
    <w:lvl w:ilvl="1" w:tplc="44807062">
      <w:start w:val="1"/>
      <w:numFmt w:val="bullet"/>
      <w:lvlText w:val="○"/>
      <w:lvlJc w:val="left"/>
      <w:pPr>
        <w:ind w:left="1440" w:hanging="360"/>
      </w:pPr>
    </w:lvl>
    <w:lvl w:ilvl="2" w:tplc="D0FCDFA2">
      <w:start w:val="1"/>
      <w:numFmt w:val="bullet"/>
      <w:lvlText w:val="■"/>
      <w:lvlJc w:val="left"/>
      <w:pPr>
        <w:ind w:left="2160" w:hanging="360"/>
      </w:pPr>
    </w:lvl>
    <w:lvl w:ilvl="3" w:tplc="D280145C">
      <w:start w:val="1"/>
      <w:numFmt w:val="bullet"/>
      <w:lvlText w:val="●"/>
      <w:lvlJc w:val="left"/>
      <w:pPr>
        <w:ind w:left="2880" w:hanging="360"/>
      </w:pPr>
    </w:lvl>
    <w:lvl w:ilvl="4" w:tplc="669E5032">
      <w:start w:val="1"/>
      <w:numFmt w:val="bullet"/>
      <w:lvlText w:val="○"/>
      <w:lvlJc w:val="left"/>
      <w:pPr>
        <w:ind w:left="3600" w:hanging="360"/>
      </w:pPr>
    </w:lvl>
    <w:lvl w:ilvl="5" w:tplc="E5C2DED8">
      <w:start w:val="1"/>
      <w:numFmt w:val="bullet"/>
      <w:lvlText w:val="■"/>
      <w:lvlJc w:val="left"/>
      <w:pPr>
        <w:ind w:left="4320" w:hanging="360"/>
      </w:pPr>
    </w:lvl>
    <w:lvl w:ilvl="6" w:tplc="C9DC82B0">
      <w:start w:val="1"/>
      <w:numFmt w:val="bullet"/>
      <w:lvlText w:val="●"/>
      <w:lvlJc w:val="left"/>
      <w:pPr>
        <w:ind w:left="5040" w:hanging="360"/>
      </w:pPr>
    </w:lvl>
    <w:lvl w:ilvl="7" w:tplc="108E5C0E">
      <w:start w:val="1"/>
      <w:numFmt w:val="bullet"/>
      <w:lvlText w:val="●"/>
      <w:lvlJc w:val="left"/>
      <w:pPr>
        <w:ind w:left="5760" w:hanging="360"/>
      </w:pPr>
    </w:lvl>
    <w:lvl w:ilvl="8" w:tplc="ECB0A9C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DAB"/>
    <w:rsid w:val="00142DAB"/>
    <w:rsid w:val="00553488"/>
    <w:rsid w:val="00C63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49E44B"/>
  <w15:docId w15:val="{9021D3C5-112D-EF41-9C6E-DB78BBE3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semiHidden/>
    <w:unhideWhenUsed/>
    <w:qFormat/>
    <w:pPr>
      <w:spacing w:before="18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5633</Words>
  <Characters>32111</Characters>
  <Application>Microsoft Office Word</Application>
  <DocSecurity>0</DocSecurity>
  <Lines>267</Lines>
  <Paragraphs>75</Paragraphs>
  <ScaleCrop>false</ScaleCrop>
  <Company/>
  <LinksUpToDate>false</LinksUpToDate>
  <CharactersWithSpaces>37669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2026-04-07T15:25:00Z</dcterms:created>
  <dcterms:modified xsi:type="dcterms:W3CDTF">2026-04-07T15:33:00Z</dcterms:modified>
</cp:coreProperties>
</file>