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32"/>
          <w:szCs w:val="32"/>
        </w:rPr>
        <w:t xml:space="preserve">MSc Dissertation Proposal</w:t>
      </w:r>
    </w:p>
    <w:p>
      <w:pPr>
        <w:spacing w:after="400" w:before="600"/>
        <w:jc w:val="center"/>
      </w:pPr>
      <w:r>
        <w:rPr>
          <w:b/>
          <w:bCs/>
          <w:sz w:val="30"/>
          <w:szCs w:val="30"/>
        </w:rPr>
        <w:t xml:space="preserve">Detecting and Mitigating Indirect Prompt Injection in MCP-Based LLM Agents: A Learned Guard-Classifier Approach with Generalisation Analysis</w:t>
      </w:r>
    </w:p>
    <w:p>
      <w:pPr>
        <w:spacing w:after="100" w:before="800"/>
        <w:jc w:val="center"/>
      </w:pPr>
      <w:r>
        <w:rPr>
          <w:sz w:val="26"/>
          <w:szCs w:val="26"/>
        </w:rPr>
        <w:t xml:space="preserve">Pavinithan Retnakumar</w:t>
      </w:r>
    </w:p>
    <w:p>
      <w:pPr>
        <w:spacing w:after="100"/>
        <w:jc w:val="center"/>
      </w:pPr>
      <w:r>
        <w:rPr>
          <w:sz w:val="24"/>
          <w:szCs w:val="24"/>
        </w:rPr>
        <w:t xml:space="preserve">MSc Advanced Computer Science</w:t>
      </w:r>
    </w:p>
    <w:p>
      <w:pPr>
        <w:spacing w:after="100"/>
        <w:jc w:val="center"/>
      </w:pPr>
      <w:r>
        <w:rPr>
          <w:sz w:val="24"/>
          <w:szCs w:val="24"/>
        </w:rPr>
        <w:t xml:space="preserve">School of Physics, Engineering and Computer Science</w:t>
      </w:r>
    </w:p>
    <w:p>
      <w:pPr>
        <w:spacing w:after="600"/>
        <w:jc w:val="center"/>
      </w:pPr>
      <w:r>
        <w:rPr>
          <w:sz w:val="24"/>
          <w:szCs w:val="24"/>
        </w:rPr>
        <w:t xml:space="preserve">University of Hertfordshire</w:t>
      </w:r>
    </w:p>
    <w:p>
      <w:pPr>
        <w:spacing w:after="100"/>
        <w:jc w:val="center"/>
      </w:pPr>
      <w:r>
        <w:rPr>
          <w:i/>
          <w:iCs/>
          <w:sz w:val="22"/>
          <w:szCs w:val="22"/>
        </w:rPr>
        <w:t xml:space="preserve">Supervisor: To be confirmed</w:t>
      </w:r>
    </w:p>
    <w:p>
      <w:pPr>
        <w:spacing w:after="100"/>
        <w:jc w:val="center"/>
      </w:pPr>
      <w:r>
        <w:rPr>
          <w:i/>
          <w:iCs/>
          <w:sz w:val="22"/>
          <w:szCs w:val="22"/>
        </w:rPr>
        <w:t xml:space="preserve">Proposed period: 24 May 2026 – 1 September 2026</w:t>
      </w:r>
    </w:p>
    <w:p>
      <w:pPr>
        <w:spacing w:after="100"/>
        <w:jc w:val="center"/>
      </w:pPr>
      <w:r>
        <w:rPr>
          <w:i/>
          <w:iCs/>
          <w:sz w:val="22"/>
          <w:szCs w:val="22"/>
        </w:rPr>
        <w:t xml:space="preserve">Submitted: May 2026</w:t>
      </w:r>
    </w:p>
    <w:p>
      <w:r>
        <w:br w:type="page"/>
      </w:r>
    </w:p>
    <w:p>
      <w:pPr>
        <w:pStyle w:val="Heading1"/>
        <w:spacing w:after="200" w:before="360"/>
      </w:pPr>
      <w:r>
        <w:rPr>
          <w:b/>
          <w:bCs/>
        </w:rPr>
        <w:t xml:space="preserve">Abstract</w:t>
      </w:r>
    </w:p>
    <w:p>
      <w:pPr>
        <w:spacing w:after="160" w:line="300"/>
        <w:jc w:val="both"/>
      </w:pPr>
      <w:r>
        <w:t xml:space="preserve">Large Language Model (LLM) agents that act on tool outputs are now being deployed at scale, most recently through Anthropic’s Model Context Protocol (MCP), which standardises how external tools and data sources are exposed to models. This expansion of agent capability also enlarges the attack surface: any document, web page, or tool response that an agent ingests becomes a potential carrier for indirect prompt injection (IPI), in which adversarial instructions hidden in third-party content hijack the agent toward unintended actions. Existing defences are largely either heuristic (keyword filters, delimiters) or model-level (training-time alignment, instruction hierarchies), and almost none have been evaluated specifically in the MCP setting. This dissertation proposes a learned guard-classifier defence positioned between tool execution and the agent’s reasoning step. A DeBERTa-v3 encoder is fine-tuned on a labelled corpus of benign and injected tool outputs drawn from InjecAgent (Zhan et al., 2024) and AgentDojo (Debenedetti et al., 2024), augmented with hand-crafted attacks targeting MCP-specific behaviours. The system will be evaluated on attack success rate, false-positive rate on benign tasks, generalisation to unseen attack categories via leave-one-out experiments, and latency overhead. The contribution is threefold: (i) the first empirical characterisation of IPI on MCP-based agents; (ii) a lightweight, model-agnostic guard classifier with a measured cost–benefit frontier; and (iii) a generalisation analysis that exposes where learned defences fail and where they hold.</w:t>
      </w:r>
    </w:p>
    <w:p>
      <w:pPr>
        <w:pStyle w:val="Heading1"/>
        <w:spacing w:after="200" w:before="360"/>
      </w:pPr>
      <w:r>
        <w:rPr>
          <w:b/>
          <w:bCs/>
        </w:rPr>
        <w:t xml:space="preserve">1. Introduction</w:t>
      </w:r>
    </w:p>
    <w:p>
      <w:pPr>
        <w:spacing w:after="160" w:line="300"/>
        <w:jc w:val="both"/>
      </w:pPr>
      <w:r>
        <w:t xml:space="preserve">LLM agents extend the capabilities of language models by allowing them to invoke external tools, retrieve documents, and act on the results within a multi-step reasoning loop (Yao et al., 2023; Schick et al., 2023; Mialon et al., 2023). The release of the Model Context Protocol (MCP) by Anthropic in late 2024 marked a turning point in how these tools are exposed to agents: rather than each application implementing bespoke tool wrappers, MCP defines a uniform client–server interface that lets any compliant agent connect to any compliant tool server (Anthropic, 2024). Within months, MCP servers have been built for file systems, calendars, databases, code repositories, communication platforms, and a growing ecosystem of consumer applications. The protocol’s strength – standardisation across heterogeneous data sources – is also its most significant security weakness, because every connected source becomes a vector through which adversarial instructions can reach the agent’s context window.</w:t>
      </w:r>
    </w:p>
    <w:p>
      <w:pPr>
        <w:spacing w:after="160" w:line="300"/>
        <w:jc w:val="both"/>
      </w:pPr>
      <w:r>
        <w:t xml:space="preserve">Indirect prompt injection (IPI) was first formalised by Greshake et al. (2023), who showed that adversarial instructions hidden in a web page, an email, or a calendar entry can hijack an LLM-integrated application even when the user has issued no malicious instruction themselves. Subsequent work has confirmed that current frontier models, despite increasingly sophisticated alignment training, remain vulnerable to such attacks (Liu et al., 2024; Yi et al., 2023; Wallace et al., 2024). The agentic setting amplifies the risk: a successful IPI no longer merely produces a misleading text response, but can trigger tool calls that exfiltrate data, send unauthorised messages, or modify files (Zhan et al., 2024; Debenedetti et al., 2024).</w:t>
      </w:r>
    </w:p>
    <w:p>
      <w:pPr>
        <w:spacing w:after="160" w:line="300"/>
        <w:jc w:val="both"/>
      </w:pPr>
      <w:r>
        <w:t xml:space="preserve">This proposal addresses the question of whether a lightweight, learned guard classifier, inserted between tool execution and the agent’s reasoning step, can detect and neutralise IPI attacks in MCP-based agents without unacceptable degradation of benign task performance. The contribution sits at the intersection of LLM security, agent design, and practical deployment engineering, and aligns directly with the candidate’s prior industrial experience in agentic chatbot development and the MSc Advanced Computer Science programme’s research dissertation requirements.</w:t>
      </w:r>
    </w:p>
    <w:p>
      <w:pPr>
        <w:pStyle w:val="Heading1"/>
        <w:spacing w:after="200" w:before="360"/>
      </w:pPr>
      <w:r>
        <w:rPr>
          <w:b/>
          <w:bCs/>
        </w:rPr>
        <w:t xml:space="preserve">2. Problem Statement and Research Gap</w:t>
      </w:r>
    </w:p>
    <w:p>
      <w:pPr>
        <w:pStyle w:val="Heading2"/>
        <w:spacing w:after="160" w:before="280"/>
      </w:pPr>
      <w:r>
        <w:rPr>
          <w:b/>
          <w:bCs/>
        </w:rPr>
        <w:t xml:space="preserve">2.1 Problem Statement</w:t>
      </w:r>
    </w:p>
    <w:p>
      <w:pPr>
        <w:spacing w:after="160" w:line="300"/>
        <w:jc w:val="both"/>
      </w:pPr>
      <w:r>
        <w:t xml:space="preserve">MCP-based LLM agents routinely ingest content from sources outside the user’s direct control – web pages, documents in shared drives, email bodies, database records, and the responses of third-party APIs. Any such content can carry instructions that the agent’s underlying model interprets as authoritative, because current LLMs do not reliably distinguish data from instructions (Wallace et al., 2024). The consequence is that an agent which appears to be performing a benign task on behalf of its user can, in fact, be executing instructions planted by a third party. The harms range from disclosure of private data and unauthorised use of tools to manipulation of downstream systems through chained tool calls.</w:t>
      </w:r>
    </w:p>
    <w:p>
      <w:pPr>
        <w:spacing w:after="160" w:line="300"/>
        <w:jc w:val="both"/>
      </w:pPr>
      <w:r>
        <w:t xml:space="preserve">A robust defence must satisfy four constraints simultaneously: it must detect injected instructions with high recall across diverse attack styles; it must avoid blocking benign tool outputs, since false positives quickly render an agent unusable; it must generalise to attack types unseen at training time, because attackers will adapt; and it must impose tolerable latency, because agents already operate near the edge of acceptable response times. No existing published defence has been simultaneously evaluated against all four constraints in the MCP setting.</w:t>
      </w:r>
    </w:p>
    <w:p>
      <w:pPr>
        <w:pStyle w:val="Heading2"/>
        <w:spacing w:after="160" w:before="280"/>
      </w:pPr>
      <w:r>
        <w:rPr>
          <w:b/>
          <w:bCs/>
        </w:rPr>
        <w:t xml:space="preserve">2.2 Research Gap</w:t>
      </w:r>
    </w:p>
    <w:p>
      <w:pPr>
        <w:spacing w:after="160" w:line="300"/>
        <w:jc w:val="both"/>
      </w:pPr>
      <w:r>
        <w:t xml:space="preserve">The literature on prompt-injection defence has grown rapidly, but three gaps remain unresolved and motivate this work:</w:t>
      </w:r>
    </w:p>
    <w:p>
      <w:pPr>
        <w:pStyle w:val="ListParagraph"/>
        <w:numPr>
          <w:ilvl w:val="0"/>
          <w:numId w:val="2"/>
        </w:numPr>
        <w:spacing w:after="80" w:line="300"/>
        <w:jc w:val="both"/>
      </w:pPr>
      <w:r>
        <w:rPr>
          <w:b/>
          <w:bCs/>
        </w:rPr>
        <w:t xml:space="preserve">Protocol-specific evaluation. </w:t>
      </w:r>
      <w:r>
        <w:t xml:space="preserve">Existing benchmarks such as InjecAgent (Zhan et al., 2024) and AgentDojo (Debenedetti et al., 2024) target generic tool-using agents. The MCP specification introduces structural elements (server-side tool descriptions, typed resource URIs, structured tool results) that change both the attack surface and the defender’s information. No prior study has characterised IPI specifically within MCP semantics.</w:t>
      </w:r>
    </w:p>
    <w:p>
      <w:pPr>
        <w:pStyle w:val="ListParagraph"/>
        <w:numPr>
          <w:ilvl w:val="0"/>
          <w:numId w:val="2"/>
        </w:numPr>
        <w:spacing w:after="80" w:line="300"/>
        <w:jc w:val="both"/>
      </w:pPr>
      <w:r>
        <w:rPr>
          <w:b/>
          <w:bCs/>
        </w:rPr>
        <w:t xml:space="preserve">Generalisation under category shift. </w:t>
      </w:r>
      <w:r>
        <w:t xml:space="preserve">Most reported defences (e.g. Hines et al., 2024; Chen et al., 2024) are evaluated only on attacks of the same kind seen during training or design. The harder and more practically relevant question – how a defence performs against attack categories withheld at training time – is rarely addressed with leave-one-out protocols.</w:t>
      </w:r>
    </w:p>
    <w:p>
      <w:pPr>
        <w:pStyle w:val="ListParagraph"/>
        <w:numPr>
          <w:ilvl w:val="0"/>
          <w:numId w:val="2"/>
        </w:numPr>
        <w:spacing w:after="80" w:line="300"/>
        <w:jc w:val="both"/>
      </w:pPr>
      <w:r>
        <w:rPr>
          <w:b/>
          <w:bCs/>
        </w:rPr>
        <w:t xml:space="preserve">The cost–benefit frontier of learned guards. </w:t>
      </w:r>
      <w:r>
        <w:t xml:space="preserve">Recent defences trade off detection rate against either false-positive rate, latency, or required model scale, but these axes are rarely reported jointly. A practitioner needs a Pareto-style frontier rather than a single headline number.</w:t>
      </w:r>
    </w:p>
    <w:p>
      <w:pPr>
        <w:spacing w:after="160" w:line="300"/>
        <w:jc w:val="both"/>
      </w:pPr>
      <w:r>
        <w:t xml:space="preserve">This proposal directly addresses all three gaps.</w:t>
      </w:r>
    </w:p>
    <w:p>
      <w:pPr>
        <w:pStyle w:val="Heading1"/>
        <w:spacing w:after="200" w:before="360"/>
      </w:pPr>
      <w:r>
        <w:rPr>
          <w:b/>
          <w:bCs/>
        </w:rPr>
        <w:t xml:space="preserve">3. Research Questions, Hypotheses and Objectives</w:t>
      </w:r>
    </w:p>
    <w:p>
      <w:pPr>
        <w:pStyle w:val="Heading2"/>
        <w:spacing w:after="160" w:before="280"/>
      </w:pPr>
      <w:r>
        <w:rPr>
          <w:b/>
          <w:bCs/>
        </w:rPr>
        <w:t xml:space="preserve">3.1 Primary Research Question</w:t>
      </w:r>
    </w:p>
    <w:p>
      <w:pPr>
        <w:spacing w:after="160" w:line="300"/>
        <w:jc w:val="both"/>
      </w:pPr>
      <w:r>
        <w:rPr>
          <w:b/>
          <w:bCs/>
        </w:rPr>
        <w:t xml:space="preserve">RQ. </w:t>
      </w:r>
      <w:r>
        <w:t xml:space="preserve">Can a lightweight, fine-tuned encoder classifier, inserted between tool execution and agent reasoning, reliably detect indirect prompt-injection attacks in MCP-based LLM agents without unacceptable false-positive rates or latency overhead on benign tasks?</w:t>
      </w:r>
    </w:p>
    <w:p>
      <w:pPr>
        <w:pStyle w:val="Heading2"/>
        <w:spacing w:after="160" w:before="280"/>
      </w:pPr>
      <w:r>
        <w:rPr>
          <w:b/>
          <w:bCs/>
        </w:rPr>
        <w:t xml:space="preserve">3.2 Secondary Research Questions</w:t>
      </w:r>
    </w:p>
    <w:p>
      <w:pPr>
        <w:pStyle w:val="ListParagraph"/>
        <w:numPr>
          <w:ilvl w:val="0"/>
          <w:numId w:val="3"/>
        </w:numPr>
        <w:spacing w:after="80" w:line="300"/>
        <w:jc w:val="both"/>
      </w:pPr>
      <w:r>
        <w:rPr>
          <w:b/>
          <w:bCs/>
        </w:rPr>
        <w:t xml:space="preserve">RQ1. </w:t>
      </w:r>
      <w:r>
        <w:t xml:space="preserve">How does the MCP protocol’s structure (typed resources, server-side descriptions, structured tool returns) alter the attack surface relative to ad-hoc tool integrations evaluated in prior work?</w:t>
      </w:r>
    </w:p>
    <w:p>
      <w:pPr>
        <w:pStyle w:val="ListParagraph"/>
        <w:numPr>
          <w:ilvl w:val="0"/>
          <w:numId w:val="3"/>
        </w:numPr>
        <w:spacing w:after="80" w:line="300"/>
        <w:jc w:val="both"/>
      </w:pPr>
      <w:r>
        <w:rPr>
          <w:b/>
          <w:bCs/>
        </w:rPr>
        <w:t xml:space="preserve">RQ2. </w:t>
      </w:r>
      <w:r>
        <w:t xml:space="preserve">To what extent does a fine-tuned DeBERTa-v3 guard classifier generalise to attack categories withheld during training?</w:t>
      </w:r>
    </w:p>
    <w:p>
      <w:pPr>
        <w:pStyle w:val="ListParagraph"/>
        <w:numPr>
          <w:ilvl w:val="0"/>
          <w:numId w:val="3"/>
        </w:numPr>
        <w:spacing w:after="80" w:line="300"/>
        <w:jc w:val="both"/>
      </w:pPr>
      <w:r>
        <w:rPr>
          <w:b/>
          <w:bCs/>
        </w:rPr>
        <w:t xml:space="preserve">RQ3. </w:t>
      </w:r>
      <w:r>
        <w:t xml:space="preserve">How does the guard’s effectiveness scale with model size and training-data volume, and what is the resulting accuracy–cost frontier?</w:t>
      </w:r>
    </w:p>
    <w:p>
      <w:pPr>
        <w:pStyle w:val="ListParagraph"/>
        <w:numPr>
          <w:ilvl w:val="0"/>
          <w:numId w:val="3"/>
        </w:numPr>
        <w:spacing w:after="80" w:line="300"/>
        <w:jc w:val="both"/>
      </w:pPr>
      <w:r>
        <w:rPr>
          <w:b/>
          <w:bCs/>
        </w:rPr>
        <w:t xml:space="preserve">RQ4. </w:t>
      </w:r>
      <w:r>
        <w:t xml:space="preserve">Does the proposed defence preserve benign task completion at production-acceptable levels (target: ≥95%) and acceptable per-call latency overhead (target: ≤150 ms median on commodity hardware)?</w:t>
      </w:r>
    </w:p>
    <w:p>
      <w:pPr>
        <w:pStyle w:val="Heading2"/>
        <w:spacing w:after="160" w:before="280"/>
      </w:pPr>
      <w:r>
        <w:rPr>
          <w:b/>
          <w:bCs/>
        </w:rPr>
        <w:t xml:space="preserve">3.3 Hypotheses</w:t>
      </w:r>
    </w:p>
    <w:p>
      <w:pPr>
        <w:spacing w:after="160" w:line="300"/>
        <w:jc w:val="both"/>
      </w:pPr>
      <w:r>
        <w:rPr>
          <w:b/>
          <w:bCs/>
        </w:rPr>
        <w:t xml:space="preserve">H1. </w:t>
      </w:r>
      <w:r>
        <w:t xml:space="preserve">A DeBERTa-v3-base guard classifier fine-tuned on a balanced corpus of ≥5,000 benign and injected tool outputs will reduce attack success rate by at least 60% (relative) against an undefended baseline agent, while maintaining false-positive rate below 5% on benign tool outputs.</w:t>
      </w:r>
    </w:p>
    <w:p>
      <w:pPr>
        <w:spacing w:after="160" w:line="300"/>
        <w:jc w:val="both"/>
      </w:pPr>
      <w:r>
        <w:rPr>
          <w:b/>
          <w:bCs/>
        </w:rPr>
        <w:t xml:space="preserve">H2. </w:t>
      </w:r>
      <w:r>
        <w:t xml:space="preserve">Under leave-one-attack-category-out evaluation, the guard’s attack-detection rate will degrade by no more than 25 percentage points on unseen categories, indicating partial but non-trivial generalisation.</w:t>
      </w:r>
    </w:p>
    <w:p>
      <w:pPr>
        <w:spacing w:after="160" w:line="300"/>
        <w:jc w:val="both"/>
      </w:pPr>
      <w:r>
        <w:rPr>
          <w:b/>
          <w:bCs/>
        </w:rPr>
        <w:t xml:space="preserve">H3. </w:t>
      </w:r>
      <w:r>
        <w:t xml:space="preserve">Increasing guard model capacity from DeBERTa-v3-base (≈184M parameters) to -large (≈435M parameters) will yield diminishing returns once training data exceeds approximately 8,000 labelled examples.</w:t>
      </w:r>
    </w:p>
    <w:p>
      <w:pPr>
        <w:pStyle w:val="Heading2"/>
        <w:spacing w:after="160" w:before="280"/>
      </w:pPr>
      <w:r>
        <w:rPr>
          <w:b/>
          <w:bCs/>
        </w:rPr>
        <w:t xml:space="preserve">3.4 Objectives</w:t>
      </w:r>
    </w:p>
    <w:p>
      <w:pPr>
        <w:pStyle w:val="ListParagraph"/>
        <w:numPr>
          <w:ilvl w:val="0"/>
          <w:numId w:val="3"/>
        </w:numPr>
        <w:spacing w:after="80" w:line="300"/>
        <w:jc w:val="both"/>
      </w:pPr>
      <w:r>
        <w:t xml:space="preserve">Conduct a focused literature review on agent security, indirect prompt injection, and MCP semantics, producing a synthesis chapter suitable for dissertation submission.</w:t>
      </w:r>
    </w:p>
    <w:p>
      <w:pPr>
        <w:pStyle w:val="ListParagraph"/>
        <w:numPr>
          <w:ilvl w:val="0"/>
          <w:numId w:val="3"/>
        </w:numPr>
        <w:spacing w:after="80" w:line="300"/>
        <w:jc w:val="both"/>
      </w:pPr>
      <w:r>
        <w:t xml:space="preserve">Implement a reference MCP-based agent with at least five connected tools spanning realistic categories (file access, web fetch, calendar, messaging, search).</w:t>
      </w:r>
    </w:p>
    <w:p>
      <w:pPr>
        <w:pStyle w:val="ListParagraph"/>
        <w:numPr>
          <w:ilvl w:val="0"/>
          <w:numId w:val="3"/>
        </w:numPr>
        <w:spacing w:after="80" w:line="300"/>
        <w:jc w:val="both"/>
      </w:pPr>
      <w:r>
        <w:t xml:space="preserve">Construct an attack suite of at least 800 unique indirect-prompt-injection instances across five categories, drawing on InjecAgent and AgentDojo and supplemented with MCP-specific hand-crafted attacks.</w:t>
      </w:r>
    </w:p>
    <w:p>
      <w:pPr>
        <w:pStyle w:val="ListParagraph"/>
        <w:numPr>
          <w:ilvl w:val="0"/>
          <w:numId w:val="3"/>
        </w:numPr>
        <w:spacing w:after="80" w:line="300"/>
        <w:jc w:val="both"/>
      </w:pPr>
      <w:r>
        <w:t xml:space="preserve">Construct a benign tool-output corpus of at least 5,000 realistic non-adversarial samples, balanced across tool types.</w:t>
      </w:r>
    </w:p>
    <w:p>
      <w:pPr>
        <w:pStyle w:val="ListParagraph"/>
        <w:numPr>
          <w:ilvl w:val="0"/>
          <w:numId w:val="3"/>
        </w:numPr>
        <w:spacing w:after="80" w:line="300"/>
        <w:jc w:val="both"/>
      </w:pPr>
      <w:r>
        <w:t xml:space="preserve">Fine-tune and evaluate guard classifiers at two model scales, reporting attack-success rate, false-positive rate, ROC, and latency.</w:t>
      </w:r>
    </w:p>
    <w:p>
      <w:pPr>
        <w:pStyle w:val="ListParagraph"/>
        <w:numPr>
          <w:ilvl w:val="0"/>
          <w:numId w:val="3"/>
        </w:numPr>
        <w:spacing w:after="80" w:line="300"/>
        <w:jc w:val="both"/>
      </w:pPr>
      <w:r>
        <w:t xml:space="preserve">Carry out ablation studies on training-data size, guard model capacity, and held-out attack categories.</w:t>
      </w:r>
    </w:p>
    <w:p>
      <w:pPr>
        <w:pStyle w:val="ListParagraph"/>
        <w:numPr>
          <w:ilvl w:val="0"/>
          <w:numId w:val="3"/>
        </w:numPr>
        <w:spacing w:after="80" w:line="300"/>
        <w:jc w:val="both"/>
      </w:pPr>
      <w:r>
        <w:t xml:space="preserve">Produce a dissertation manuscript and viva-ready presentation by the submission deadline.</w:t>
      </w:r>
    </w:p>
    <w:p>
      <w:pPr>
        <w:pStyle w:val="Heading1"/>
        <w:spacing w:after="200" w:before="360"/>
      </w:pPr>
      <w:r>
        <w:rPr>
          <w:b/>
          <w:bCs/>
        </w:rPr>
        <w:t xml:space="preserve">4. Literature Review</w:t>
      </w:r>
    </w:p>
    <w:p>
      <w:pPr>
        <w:spacing w:after="160" w:line="300"/>
        <w:jc w:val="both"/>
      </w:pPr>
      <w:r>
        <w:t xml:space="preserve">The literature relevant to this work spans four interrelated bodies of research: tool-using and agentic LLMs, prompt-injection attacks, defensive mechanisms, and evaluation benchmarks. This section synthesises each in turn and positions the proposed contribution.</w:t>
      </w:r>
    </w:p>
    <w:p>
      <w:pPr>
        <w:pStyle w:val="Heading2"/>
        <w:spacing w:after="160" w:before="280"/>
      </w:pPr>
      <w:r>
        <w:rPr>
          <w:b/>
          <w:bCs/>
        </w:rPr>
        <w:t xml:space="preserve">4.1 LLM Agents and Tool Use</w:t>
      </w:r>
    </w:p>
    <w:p>
      <w:pPr>
        <w:spacing w:after="160" w:line="300"/>
        <w:jc w:val="both"/>
      </w:pPr>
      <w:r>
        <w:t xml:space="preserve">Equipping language models with external tools transforms them from passive text generators into systems that can act on the world. Yao et al. (2023) introduced the ReAct paradigm, in which the model interleaves chain-of-thought reasoning with explicit tool actions and observations. Schick et al. (2023) demonstrated that tool-use capability can be acquired through self-supervised fine-tuning in their Toolformer system. The broader landscape of augmented language models is surveyed by Mialon et al. (2023). Production agent frameworks such as LangChain, LangGraph, and CrewAI have since standardised the orchestration of multi-step tool use, while protocols such as MCP (Anthropic, 2024) standardise the interface between agents and tools. The Llama 3 herd of models (Dubey et al., 2024) and parameter-efficient adaptation techniques such as LoRA (Hu et al., 2022) have together made it practical to deploy agentic systems on modest compute budgets, which is directly relevant to the present proposal’s methodology.</w:t>
      </w:r>
    </w:p>
    <w:p>
      <w:pPr>
        <w:pStyle w:val="Heading2"/>
        <w:spacing w:after="160" w:before="280"/>
      </w:pPr>
      <w:r>
        <w:rPr>
          <w:b/>
          <w:bCs/>
        </w:rPr>
        <w:t xml:space="preserve">4.2 Prompt Injection: Direct and Indirect Attacks</w:t>
      </w:r>
    </w:p>
    <w:p>
      <w:pPr>
        <w:spacing w:after="160" w:line="300"/>
        <w:jc w:val="both"/>
      </w:pPr>
      <w:r>
        <w:t xml:space="preserve">Perez and Ribeiro (2022) gave one of the earliest systematic accounts of direct prompt injection, in which a user inserts adversarial text intended to override the developer’s system prompt. Greshake et al. (2023) extended this analysis to the indirect setting, where adversarial instructions are embedded in third-party content that the LLM later ingests. They argued that any LLM-integrated application that retrieves untrusted external content is, in principle, vulnerable. Liu et al. (2024) provided a more formal threat model for prompt-injection attacks against LLM-integrated applications and showed that current commercial systems are exploitable in realistic scenarios. Wei et al. (2023) and Carlini et al. (2023) demonstrated that safety training does not preclude adversarial manipulation, with the latter showing that even aligned models are not adversarially aligned in any meaningful technical sense. Yi et al. (2023) constructed an early benchmark for indirect injection on LLMs and reported widespread vulnerability across open and proprietary models.</w:t>
      </w:r>
    </w:p>
    <w:p>
      <w:pPr>
        <w:spacing w:after="160" w:line="300"/>
        <w:jc w:val="both"/>
      </w:pPr>
      <w:r>
        <w:t xml:space="preserve">In the agentic setting, the consequences of successful injection extend beyond misleading output. Zhan et al. (2024) introduced InjecAgent, a benchmark of more than 1,000 cases where injected content induces a tool-using agent to execute harmful actions, finding attack success rates above 25% on frontier models even with system-prompt defences. Debenedetti et al. (2024) developed AgentDojo, an executable environment that operationalises end-to-end attack scenarios across realistic task suites; their results confirm that no existing defence simultaneously achieves high utility and high robustness.</w:t>
      </w:r>
    </w:p>
    <w:p>
      <w:pPr>
        <w:pStyle w:val="Heading2"/>
        <w:spacing w:after="160" w:before="280"/>
      </w:pPr>
      <w:r>
        <w:rPr>
          <w:b/>
          <w:bCs/>
        </w:rPr>
        <w:t xml:space="preserve">4.3 Defensive Approaches</w:t>
      </w:r>
    </w:p>
    <w:p>
      <w:pPr>
        <w:spacing w:after="160" w:line="300"/>
        <w:jc w:val="both"/>
      </w:pPr>
      <w:r>
        <w:t xml:space="preserve">Existing defences against prompt injection can be grouped into four families. Heuristic input filtering and delimiter conventions are simple to deploy but trivially bypassed (Greshake et al., 2023). Spotlighting (Hines et al., 2024) marks untrusted content using encodings or tags so the model can treat it as data rather than instructions; this approach reduces but does not eliminate susceptibility. Training-time interventions include StruQ (Chen et al., 2024), which fine-tunes models to enforce a structured prompt-and-data separation, and Jatmo (Piet et al., 2024), which produces task-specific fine-tuned models that do not follow instructions at all. The Instruction Hierarchy proposal of Wallace et al. (2024) trains models to prioritise privileged over unprivileged instructions, embedding a notion of provenance into the model’s behaviour itself.</w:t>
      </w:r>
    </w:p>
    <w:p>
      <w:pPr>
        <w:spacing w:after="160" w:line="300"/>
        <w:jc w:val="both"/>
      </w:pPr>
      <w:r>
        <w:t xml:space="preserve">A fourth, complementary family of defences treats injection detection as a separate classification problem and inserts a guard model into the pipeline. Lightweight guard models have the advantage of being model-agnostic with respect to the underlying agent, deployable behind any LLM, and updatable independently of the host model. However, the literature on such guards is comparatively thin, and almost none of it has been evaluated against the held-out attack categories that practitioners actually face. This gap is the principal target of the present proposal.</w:t>
      </w:r>
    </w:p>
    <w:p>
      <w:pPr>
        <w:pStyle w:val="Heading2"/>
        <w:spacing w:after="160" w:before="280"/>
      </w:pPr>
      <w:r>
        <w:rPr>
          <w:b/>
          <w:bCs/>
        </w:rPr>
        <w:t xml:space="preserve">4.4 Evaluation Benchmarks for Agent Security</w:t>
      </w:r>
    </w:p>
    <w:p>
      <w:pPr>
        <w:spacing w:after="160" w:line="300"/>
        <w:jc w:val="both"/>
      </w:pPr>
      <w:r>
        <w:t xml:space="preserve">InjecAgent (Zhan et al., 2024) is the most widely used benchmark for IPI attacks against tool-using agents and supplies categorised attack instances with execution-time evaluation. AgentDojo (Debenedetti et al., 2024) goes further by providing a dynamic environment with realistic task suites and explicit utility metrics, allowing simultaneous measurement of robustness and benign performance. Earlier benchmarks such as BIPIA (Yi et al., 2023) target text-only agents and remain useful for studying detection in narrower settings. The present proposal will use InjecAgent and AgentDojo as primary evaluation sources, supplemented by a hand-crafted MCP-specific attack suite to address the protocol-specific gap identified in Section 2.2.</w:t>
      </w:r>
    </w:p>
    <w:p>
      <w:pPr>
        <w:pStyle w:val="Heading2"/>
        <w:spacing w:after="160" w:before="280"/>
      </w:pPr>
      <w:r>
        <w:rPr>
          <w:b/>
          <w:bCs/>
        </w:rPr>
        <w:t xml:space="preserve">4.5 The Model Context Protocol and the Emerging Attack Surface</w:t>
      </w:r>
    </w:p>
    <w:p>
      <w:pPr>
        <w:spacing w:after="160" w:line="300"/>
        <w:jc w:val="both"/>
      </w:pPr>
      <w:r>
        <w:t xml:space="preserve">MCP (Anthropic, 2024) defines a client–server protocol in which an MCP server exposes tools (callable functions with typed inputs), resources (URI-addressable data), and prompts (reusable templates). The agent retrieves these as structured objects rather than as ad-hoc free text. The structure is double-edged from a security perspective: structured returns provide more handles for a defender to reason about provenance, but uniform exposure of heterogeneous tools also means that an attacker who compromises a single server can affect every agent connected to it. No published study has yet characterised IPI specifically in MCP terms, and none has measured how protocol-level structure alters either attack difficulty or defensive accuracy. Filling this gap is the first research contribution claimed by this proposal.</w:t>
      </w:r>
    </w:p>
    <w:p>
      <w:pPr>
        <w:pStyle w:val="Heading2"/>
        <w:spacing w:after="160" w:before="280"/>
      </w:pPr>
      <w:r>
        <w:rPr>
          <w:b/>
          <w:bCs/>
        </w:rPr>
        <w:t xml:space="preserve">4.6 Synthesis and Positioning</w:t>
      </w:r>
    </w:p>
    <w:p>
      <w:pPr>
        <w:spacing w:after="160" w:line="300"/>
        <w:jc w:val="both"/>
      </w:pPr>
      <w:r>
        <w:t xml:space="preserve">Taken together, the literature establishes that (a) IPI is a real and unsolved threat to LLM-integrated applications; (b) the agentic setting amplifies the harm beyond text-level manipulation; (c) existing defences are partial, often evaluated on in-distribution attacks only, and rarely reported jointly with cost; and (d) the MCP setting, despite its rapid adoption, has not been the subject of focused security study. The present work positions itself precisely at this intersection: a learned guard-classifier defence, evaluated against MCP-relevant attacks, with explicit measurement of generalisation under category shift and of the accuracy–cost frontier.</w:t>
      </w:r>
    </w:p>
    <w:p>
      <w:pPr>
        <w:pStyle w:val="Heading1"/>
        <w:spacing w:after="200" w:before="360"/>
      </w:pPr>
      <w:r>
        <w:rPr>
          <w:b/>
          <w:bCs/>
        </w:rPr>
        <w:t xml:space="preserve">5. Methodology</w:t>
      </w:r>
    </w:p>
    <w:p>
      <w:pPr>
        <w:pStyle w:val="Heading2"/>
        <w:spacing w:after="160" w:before="280"/>
      </w:pPr>
      <w:r>
        <w:rPr>
          <w:b/>
          <w:bCs/>
        </w:rPr>
        <w:t xml:space="preserve">5.1 System Architecture</w:t>
      </w:r>
    </w:p>
    <w:p>
      <w:pPr>
        <w:spacing w:after="160" w:line="300"/>
        <w:jc w:val="both"/>
      </w:pPr>
      <w:r>
        <w:t xml:space="preserve">The experimental system comprises three components: an MCP-based agent under test, an attack-and-benign corpus generator, and the guard classifier under evaluation. The agent will be built using LangGraph (chosen for its explicit state-machine semantics, which simplify logging and reproducibility) on top of Llama-3.1-8B-Instruct, quantised to 4-bit precision using QLoRA-compatible weights so as to run on a single consumer GPU. Five MCP-style tool servers will be instrumented: a file-system reader, a web-fetch tool, a calendar-events tool, a messaging tool, and a search tool. The guard classifier is inserted between tool execution and the agent’s next reasoning step, scoring each tool output and either passing it, sanitising it, or refusing it.</w:t>
      </w:r>
    </w:p>
    <w:p>
      <w:pPr>
        <w:pStyle w:val="Heading2"/>
        <w:spacing w:after="160" w:before="280"/>
      </w:pPr>
      <w:r>
        <w:rPr>
          <w:b/>
          <w:bCs/>
        </w:rPr>
        <w:t xml:space="preserve">5.2 Attack Suite Construction</w:t>
      </w:r>
    </w:p>
    <w:p>
      <w:pPr>
        <w:spacing w:after="160" w:line="300"/>
        <w:jc w:val="both"/>
      </w:pPr>
      <w:r>
        <w:t xml:space="preserve">The attack corpus will be assembled from three sources. First, the relevant subsets of InjecAgent (Zhan et al., 2024) will be ported into the MCP-style harness. Second, scenarios from AgentDojo (Debenedetti et al., 2024) will be adapted, particularly those exercising data-exfiltration and unauthorised-action patterns. Third, a hand-crafted set of at least 200 MCP-specific attacks will be created, covering five categories: (i) instruction override via crafted document content, (ii) tool-name confusion exploiting MCP’s server-side descriptions, (iii) resource-URI spoofing, (iv) chained multi-step injection, and (v) jailbreak-style escalations. Each attack will be tagged by category and by intended effect to support leave-one-out evaluation.</w:t>
      </w:r>
    </w:p>
    <w:p>
      <w:pPr>
        <w:pStyle w:val="Heading2"/>
        <w:spacing w:after="160" w:before="280"/>
      </w:pPr>
      <w:r>
        <w:rPr>
          <w:b/>
          <w:bCs/>
        </w:rPr>
        <w:t xml:space="preserve">5.3 Benign Corpus Construction</w:t>
      </w:r>
    </w:p>
    <w:p>
      <w:pPr>
        <w:spacing w:after="160" w:line="300"/>
        <w:jc w:val="both"/>
      </w:pPr>
      <w:r>
        <w:t xml:space="preserve">A benign tool-output corpus of at least 5,000 examples will be assembled from realistic non-adversarial sources: public web pages from a curated topic distribution, synthetic calendar entries, synthetic email bodies generated by a separate non-target LLM, real documents from public-domain corpora (e.g. Project Gutenberg excerpts, public GitHub READMEs), and search-result snippets. The distribution will be balanced across tool types to avoid spurious tool-conditional shortcuts in the classifier.</w:t>
      </w:r>
    </w:p>
    <w:p>
      <w:pPr>
        <w:pStyle w:val="Heading2"/>
        <w:spacing w:after="160" w:before="280"/>
      </w:pPr>
      <w:r>
        <w:rPr>
          <w:b/>
          <w:bCs/>
        </w:rPr>
        <w:t xml:space="preserve">5.4 Guard Classifier</w:t>
      </w:r>
    </w:p>
    <w:p>
      <w:pPr>
        <w:spacing w:after="160" w:line="300"/>
        <w:jc w:val="both"/>
      </w:pPr>
      <w:r>
        <w:t xml:space="preserve">The primary guard model is DeBERTa-v3-base (He et al., 2021), fine-tuned as a binary classifier on (tool_output, label) pairs. A larger DeBERTa-v3-large variant will be trained for ablation. Training uses a standard cross-entropy objective with class-weighted sampling to compensate for the natural prevalence imbalance expected in production. Hyperparameters (learning rate, weight decay, batch size, sequence length) will be selected by a small grid search on a held-out validation split. The fine-tuning is comfortably within the compute budget of a single Colab Pro A100 session.</w:t>
      </w:r>
    </w:p>
    <w:p>
      <w:pPr>
        <w:pStyle w:val="Heading2"/>
        <w:spacing w:after="160" w:before="280"/>
      </w:pPr>
      <w:r>
        <w:rPr>
          <w:b/>
          <w:bCs/>
        </w:rPr>
        <w:t xml:space="preserve">5.5 Evaluation Protocol</w:t>
      </w:r>
    </w:p>
    <w:p>
      <w:pPr>
        <w:spacing w:after="160" w:line="300"/>
        <w:jc w:val="both"/>
      </w:pPr>
      <w:r>
        <w:t xml:space="preserve">Four primary metrics are reported. Attack Success Rate (ASR) is the proportion of attack instances that successfully induce the targeted unintended action on the agent. False-Positive Rate (FPR) is the proportion of benign tool outputs that the guard incorrectly flags. Task Completion Rate (TCR) is the proportion of benign multi-step tasks the agent completes successfully with the guard active. Latency Overhead is the median additional time per tool call introduced by the guard. ROC curves are reported across guard-classifier thresholds, and a confusion matrix is reported on the held-out test split. All results are reported with bootstrap 95% confidence intervals over three independent training seeds.</w:t>
      </w:r>
    </w:p>
    <w:p>
      <w:pPr>
        <w:pStyle w:val="Heading2"/>
        <w:spacing w:after="160" w:before="280"/>
      </w:pPr>
      <w:r>
        <w:rPr>
          <w:b/>
          <w:bCs/>
        </w:rPr>
        <w:t xml:space="preserve">5.6 Ablation and Generalisation Studies</w:t>
      </w:r>
    </w:p>
    <w:p>
      <w:pPr>
        <w:spacing w:after="160" w:line="300"/>
        <w:jc w:val="both"/>
      </w:pPr>
      <w:r>
        <w:t xml:space="preserve">Three ablations are planned. The first varies training-data volume across {1k, 2.5k, 5k, 10k} examples to estimate marginal value of data. The second varies guard model capacity between DeBERTa-v3-base and -large. The third is the central generalisation study: a leave-one-attack-category-out protocol in which the guard is trained on four of the five attack categories and evaluated on the fifth, repeated for each category. Two simple baselines – a keyword-based filter and a zero-shot LLM-as-judge using a small instruct model – are included for context.</w:t>
      </w:r>
    </w:p>
    <w:p>
      <w:pPr>
        <w:pStyle w:val="Heading2"/>
        <w:spacing w:after="160" w:before="280"/>
      </w:pPr>
      <w:r>
        <w:rPr>
          <w:b/>
          <w:bCs/>
        </w:rPr>
        <w:t xml:space="preserve">5.7 Reproducibility</w:t>
      </w:r>
    </w:p>
    <w:p>
      <w:pPr>
        <w:spacing w:after="160" w:line="300"/>
        <w:jc w:val="both"/>
      </w:pPr>
      <w:r>
        <w:t xml:space="preserve">All code, attack corpora (excluding any items withheld for ethical reasons), model checkpoints, and evaluation scripts will be released in a public GitHub repository at submission, with environment specifications pinned via a lockfile. Random seeds and hyperparameters will be reported in full in the dissertation appendix.</w:t>
      </w:r>
    </w:p>
    <w:p>
      <w:pPr>
        <w:pStyle w:val="Heading1"/>
        <w:spacing w:after="200" w:before="360"/>
      </w:pPr>
      <w:r>
        <w:rPr>
          <w:b/>
          <w:bCs/>
        </w:rPr>
        <w:t xml:space="preserve">6. Expected Contributions</w:t>
      </w:r>
    </w:p>
    <w:p>
      <w:pPr>
        <w:spacing w:after="160" w:line="300"/>
        <w:jc w:val="both"/>
      </w:pPr>
      <w:r>
        <w:t xml:space="preserve">This dissertation will make three distinct contributions to the literature:</w:t>
      </w:r>
    </w:p>
    <w:p>
      <w:pPr>
        <w:pStyle w:val="ListParagraph"/>
        <w:numPr>
          <w:ilvl w:val="0"/>
          <w:numId w:val="3"/>
        </w:numPr>
        <w:spacing w:after="80" w:line="300"/>
        <w:jc w:val="both"/>
      </w:pPr>
      <w:r>
        <w:rPr>
          <w:b/>
          <w:bCs/>
        </w:rPr>
        <w:t xml:space="preserve">Empirical characterisation of indirect prompt injection in MCP-based agents. </w:t>
      </w:r>
      <w:r>
        <w:t xml:space="preserve">The first study, to the candidate’s knowledge, to map the IPI threat model onto the specific structural elements of the Model Context Protocol, with a tagged attack corpus released to the community.</w:t>
      </w:r>
    </w:p>
    <w:p>
      <w:pPr>
        <w:pStyle w:val="ListParagraph"/>
        <w:numPr>
          <w:ilvl w:val="0"/>
          <w:numId w:val="3"/>
        </w:numPr>
        <w:spacing w:after="80" w:line="300"/>
        <w:jc w:val="both"/>
      </w:pPr>
      <w:r>
        <w:rPr>
          <w:b/>
          <w:bCs/>
        </w:rPr>
        <w:t xml:space="preserve">A learned guard-classifier defence with reported cost–benefit frontier. </w:t>
      </w:r>
      <w:r>
        <w:t xml:space="preserve">A fine-tuned DeBERTa-v3 classifier, deployable model-agnostically, evaluated jointly on attack-success rate, false-positive rate, task completion, and latency, with results across guard model sizes and training-data volumes.</w:t>
      </w:r>
    </w:p>
    <w:p>
      <w:pPr>
        <w:pStyle w:val="ListParagraph"/>
        <w:numPr>
          <w:ilvl w:val="0"/>
          <w:numId w:val="3"/>
        </w:numPr>
        <w:spacing w:after="80" w:line="300"/>
        <w:jc w:val="both"/>
      </w:pPr>
      <w:r>
        <w:rPr>
          <w:b/>
          <w:bCs/>
        </w:rPr>
        <w:t xml:space="preserve">A generalisation study under attack-category shift. </w:t>
      </w:r>
      <w:r>
        <w:t xml:space="preserve">Leave-one-out evaluation across five attack categories, providing the first published estimate of how far a learned IPI guard generalises to attack styles unseen at training time.</w:t>
      </w:r>
    </w:p>
    <w:p>
      <w:pPr>
        <w:pStyle w:val="Heading1"/>
        <w:spacing w:after="200" w:before="360"/>
      </w:pPr>
      <w:r>
        <w:rPr>
          <w:b/>
          <w:bCs/>
        </w:rPr>
        <w:t xml:space="preserve">7. Project Plan and Timeline</w:t>
      </w:r>
    </w:p>
    <w:p>
      <w:pPr>
        <w:spacing w:after="160" w:line="300"/>
        <w:jc w:val="both"/>
      </w:pPr>
      <w:r>
        <w:t xml:space="preserve">The project will run over fifteen calendar weeks from 24 May 2026 to 1 September 2026. The plan front-loads infrastructure and corpus construction so that no experimentation can be blocked by missing data, schedules the primary evaluation and ablations through July, and reserves the final three weeks exclusively for writing and revision. A two-day rolling buffer is implicit in each weekly milestone; if any milestone slips by more than three days, the contingency procedure in Section 8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200"/>
        <w:gridCol w:w="34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Week</w:t>
            </w:r>
          </w:p>
        </w:tc>
        <w:tc>
          <w:tcPr>
            <w:tcW w:type="dxa" w:w="19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Dates</w:t>
            </w:r>
          </w:p>
        </w:tc>
        <w:tc>
          <w:tcPr>
            <w:tcW w:type="dxa" w:w="3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Milestone</w:t>
            </w:r>
          </w:p>
        </w:tc>
        <w:tc>
          <w:tcPr>
            <w:tcW w:type="dxa" w:w="34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Deliverable</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24 May – 30 May</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Literature review consolidation; environment setup; supervisor sign-off</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Annotated bibliography (≥25 sources); Git repo skeleton</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31 May – 6 Jun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Reference MCP agent built with 5 tool servers; baseline run on a single InjecAgent attack</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Working agent; baseline ASR logged</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7 Jun – 13 Jun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Port InjecAgent and adapt AgentDojo into the harness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Portable attack runner; ≥300 instances live</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4</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14 Jun – 20 Jun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Hand-craft 200+ MCP-specific attacks across 5 categories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Full tagged attack corpus (≥800 instances)</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21 Jun – 27 Jun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Benign tool-output corpus built; full undefended baseline measured</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Benign corpus (≥5,000); baseline ASR/TCR table</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6</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28 Jun – 4 Jul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First DeBERTa-v3-base fine-tune; end-to-end pipeline integration</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Initial guard checkpoint; first ROC curve</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7</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5 Jul – 11 Jul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Iterate on training data; full primary evaluation (3 seeds)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Primary results table with 95% CIs</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8</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12 Jul – 18 Jul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Ablation: training-data volume sweep {1k, 2.5k, 5k, 10k}</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Data-volume Pareto plot</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9</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19 Jul – 25 Jul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Ablation: model-size sweep (base vs. large); baselines (keyword, LLM-judge)</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Capacity-vs-accuracy plot; baseline comparison</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10</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26 Jul – 1 Aug</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Generalisation study: leave-one-category-out, all 5 categories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Generalisation table; failure-mode analysis</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11</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 Aug – 8 Aug</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Latency profiling; remaining experiments; reproducibility freeze</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Latency report; tagged repo release</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12</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9 Aug – 15 Aug</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Dissertation writing: Introduction, Background, Methodology</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Draft chapters 1–3</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16 Aug – 22 Aug</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Dissertation writing: Results, Discussion, Conclusion</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Draft chapters 4–6</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14</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23 Aug – 29 Aug</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Supervisor feedback; revisions; figures finalised; appendix</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Full revised draft</w:t>
            </w:r>
          </w:p>
        </w:tc>
      </w:tr>
      <w:tr>
        <w:trPr>
          <w:tblHeader w:val="false"/>
        </w:trP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15</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30 Aug – 1 Sep</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Final proofread; submission; viva preparation begins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Submitted dissertation</w:t>
            </w:r>
          </w:p>
        </w:tc>
      </w:tr>
    </w:tbl>
    <w:p>
      <w:pPr>
        <w:spacing w:after="160" w:line="300"/>
        <w:jc w:val="both"/>
      </w:pPr>
      <w:r>
        <w:t xml:space="preserve"/>
      </w:r>
    </w:p>
    <w:p>
      <w:pPr>
        <w:pStyle w:val="Heading1"/>
        <w:spacing w:after="200" w:before="360"/>
      </w:pPr>
      <w:r>
        <w:rPr>
          <w:b/>
          <w:bCs/>
        </w:rPr>
        <w:t xml:space="preserve">8. Risk Register and Contingency</w:t>
      </w:r>
    </w:p>
    <w:p>
      <w:pPr>
        <w:spacing w:after="160" w:line="300"/>
        <w:jc w:val="both"/>
      </w:pPr>
      <w:r>
        <w:t xml:space="preserve">Six material risks are anticipated. Each is paired with a mitigation that can be invoked without compromising the dissertation’s core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Risk</w:t>
            </w:r>
          </w:p>
        </w:tc>
        <w:tc>
          <w:tcPr>
            <w:tcW w:type="dxa" w:w="1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Likelihood</w:t>
            </w:r>
          </w:p>
        </w:tc>
        <w:tc>
          <w:tcPr>
            <w:tcW w:type="dxa" w:w="1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Impact</w:t>
            </w:r>
          </w:p>
        </w:tc>
        <w:tc>
          <w:tcPr>
            <w:tcW w:type="dxa" w:w="39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spacing w:after="0"/>
            </w:pPr>
            <w:r>
              <w:rPr>
                <w:b/>
                <w:bCs/>
                <w:sz w:val="20"/>
                <w:szCs w:val="20"/>
              </w:rPr>
              <w:t xml:space="preserve">Mitigation</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Undefended baseline ASR already low (attacks too easy to detect)</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High</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Strengthen hand-crafted attack set in Weeks 3–4; verify baseline early to allow re-scoping.</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Guard overfits to surface patterns; weak generalisation</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Leave-one-out ablation is designed to surface this; honest reporting of negative findings is itself a contribution.</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Compute access constrained (single GPU / Colab Pro session limits)</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All training fits in &lt;12 hours per run; checkpointing every epoch; fall back to DeBERTa-base only if needed.</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MCP server tooling churn; breaking API changes during project</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Low</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Medium</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Pin MCP SDK version at Week 1; vendored copy in repo.</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Scope creep into building new attacks instead of evaluating defences</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High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High</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Hard cap on attack-suite work at end of Week 4; thereafter, attack-corpus frozen.</w:t>
            </w:r>
          </w:p>
        </w:tc>
      </w:tr>
      <w:tr>
        <w:trPr>
          <w:tblHeader w:val="false"/>
        </w:trP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Illness or unexpected personal disruption</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Low</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High</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0"/>
            </w:pPr>
            <w:r>
              <w:rPr>
                <w:sz w:val="20"/>
                <w:szCs w:val="20"/>
              </w:rPr>
              <w:t xml:space="preserve">Two-day buffer per week; supervisor notified immediately; mitigating-circumstances procedure available via the School.</w:t>
            </w:r>
          </w:p>
        </w:tc>
      </w:tr>
    </w:tbl>
    <w:p>
      <w:pPr>
        <w:spacing w:after="160" w:line="300"/>
        <w:jc w:val="both"/>
      </w:pPr>
      <w:r>
        <w:t xml:space="preserve"/>
      </w:r>
    </w:p>
    <w:p>
      <w:pPr>
        <w:pStyle w:val="Heading1"/>
        <w:spacing w:after="200" w:before="360"/>
      </w:pPr>
      <w:r>
        <w:rPr>
          <w:b/>
          <w:bCs/>
        </w:rPr>
        <w:t xml:space="preserve">9. Ethical Considerations</w:t>
      </w:r>
    </w:p>
    <w:p>
      <w:pPr>
        <w:spacing w:after="160" w:line="300"/>
        <w:jc w:val="both"/>
      </w:pPr>
      <w:r>
        <w:t xml:space="preserve">The project involves the deliberate construction of attacks against AI systems. Although these attacks target a self-hosted local agent under the candidate’s sole control, three ethical issues warrant explicit treatment. First, no attacks will be tested against third-party live services without consent; all evaluation is conducted in a sandboxed environment using mock tool servers or services run locally. Second, the public release of the attack corpus is dual-use: it could in principle be misused. The corpus will be released with a documented research-use licence and accompanying defensive guard checkpoint, on the standard argument from the responsible-disclosure literature that defenders benefit more than attackers from shared benchmarks. Third, no personal data of any third party is collected or processed; the benign tool-output corpus draws exclusively on public-domain or synthetically generated content. The project will be submitted to the School ethics process at Week 1 and will not commence experimental work involving the attack suite until ethics clearance is in hand.</w:t>
      </w:r>
    </w:p>
    <w:p>
      <w:r>
        <w:br w:type="page"/>
      </w:r>
    </w:p>
    <w:p>
      <w:pPr>
        <w:pStyle w:val="Heading1"/>
        <w:spacing w:after="200" w:before="360"/>
      </w:pPr>
      <w:r>
        <w:rPr>
          <w:b/>
          <w:bCs/>
        </w:rPr>
        <w:t xml:space="preserve">References</w:t>
      </w:r>
    </w:p>
    <w:p>
      <w:pPr>
        <w:spacing w:after="120" w:line="280"/>
        <w:ind w:left="720" w:hanging="720"/>
      </w:pPr>
      <w:r>
        <w:t xml:space="preserve">Anthropic (2024) ‘Introducing the Model Context Protocol’. Available at: https://www.anthropic.com/news/model-context-protocol (Accessed: May 2026).</w:t>
      </w:r>
    </w:p>
    <w:p>
      <w:pPr>
        <w:spacing w:after="120" w:line="280"/>
        <w:ind w:left="720" w:hanging="720"/>
      </w:pPr>
      <w:r>
        <w:t xml:space="preserve">Carlini, N., Nasr, M., Choquette-Choo, C. A., Jagielski, M., Gao, I., Awadalla, A., Koh, P. W., Ippolito, D., Lee, K., Tramer, F. and Schmidt, L. (2023) ‘Are aligned neural networks adversarially aligned?’, in Advances in Neural Information Processing Systems 36 (NeurIPS 2023).</w:t>
      </w:r>
    </w:p>
    <w:p>
      <w:pPr>
        <w:spacing w:after="120" w:line="280"/>
        <w:ind w:left="720" w:hanging="720"/>
      </w:pPr>
      <w:r>
        <w:t xml:space="preserve">Chen, S., Piet, J., Sitawarin, C. and Wagner, D. (2024) ‘StruQ: Defending against prompt injection with structured queries’, arXiv preprint arXiv:2402.06363.</w:t>
      </w:r>
    </w:p>
    <w:p>
      <w:pPr>
        <w:spacing w:after="120" w:line="280"/>
        <w:ind w:left="720" w:hanging="720"/>
      </w:pPr>
      <w:r>
        <w:t xml:space="preserve">Debenedetti, E., Zhang, J., Balunović, M., Beurer-Kellner, L., Fischer, M. and Tramèr, F. (2024) ‘AgentDojo: A dynamic environment to evaluate prompt injection attacks and defenses for LLM agents’, in Advances in Neural Information Processing Systems 37 Datasets and Benchmarks Track (NeurIPS 2024).</w:t>
      </w:r>
    </w:p>
    <w:p>
      <w:pPr>
        <w:spacing w:after="120" w:line="280"/>
        <w:ind w:left="720" w:hanging="720"/>
      </w:pPr>
      <w:r>
        <w:t xml:space="preserve">Dubey, A. et al. (2024) ‘The Llama 3 herd of models’, arXiv preprint arXiv:2407.21783.</w:t>
      </w:r>
    </w:p>
    <w:p>
      <w:pPr>
        <w:spacing w:after="120" w:line="280"/>
        <w:ind w:left="720" w:hanging="720"/>
      </w:pPr>
      <w:r>
        <w:t xml:space="preserve">Greshake, K., Abdelnabi, S., Mishra, S., Endres, C., Holz, T. and Fritz, M. (2023) ‘Not what you’ve signed up for: Compromising real-world LLM-integrated applications with indirect prompt injection’, in Proceedings of the 16th ACM Workshop on Artificial Intelligence and Security (AISec ’23), pp. 79–90.</w:t>
      </w:r>
    </w:p>
    <w:p>
      <w:pPr>
        <w:spacing w:after="120" w:line="280"/>
        <w:ind w:left="720" w:hanging="720"/>
      </w:pPr>
      <w:r>
        <w:t xml:space="preserve">He, P., Gao, J. and Chen, W. (2021) ‘DeBERTaV3: Improving DeBERTa using ELECTRA-style pre-training with gradient-disentangled embedding sharing’, in International Conference on Learning Representations (ICLR 2023).</w:t>
      </w:r>
    </w:p>
    <w:p>
      <w:pPr>
        <w:spacing w:after="120" w:line="280"/>
        <w:ind w:left="720" w:hanging="720"/>
      </w:pPr>
      <w:r>
        <w:t xml:space="preserve">Hines, K., Lopez, G., Hall, M., Zarfati, F., Zunger, Y. and Kiciman, E. (2024) ‘Defending against indirect prompt injection attacks with spotlighting’, arXiv preprint arXiv:2403.14720.</w:t>
      </w:r>
    </w:p>
    <w:p>
      <w:pPr>
        <w:spacing w:after="120" w:line="280"/>
        <w:ind w:left="720" w:hanging="720"/>
      </w:pPr>
      <w:r>
        <w:t xml:space="preserve">Hu, E. J., Shen, Y., Wallis, P., Allen-Zhu, Z., Li, Y., Wang, S., Wang, L. and Chen, W. (2022) ‘LoRA: Low-rank adaptation of large language models’, in International Conference on Learning Representations (ICLR 2022).</w:t>
      </w:r>
    </w:p>
    <w:p>
      <w:pPr>
        <w:spacing w:after="120" w:line="280"/>
        <w:ind w:left="720" w:hanging="720"/>
      </w:pPr>
      <w:r>
        <w:t xml:space="preserve">Liu, Y., Deng, G., Li, Y., Wang, K., Wang, Z., Wang, X., Zhang, T., Liu, Y., Wang, H., Zheng, Y. and Liu, Y. (2024) ‘Prompt injection attack against LLM-integrated applications’, arXiv preprint arXiv:2306.05499.</w:t>
      </w:r>
    </w:p>
    <w:p>
      <w:pPr>
        <w:spacing w:after="120" w:line="280"/>
        <w:ind w:left="720" w:hanging="720"/>
      </w:pPr>
      <w:r>
        <w:t xml:space="preserve">Mialon, G., Dessì, R., Lomeli, M., Nalmpantis, C., Pasunuru, R., Raileanu, R., Rozière, B., Schick, T., Dwivedi-Yu, J., Celikyilmaz, A., Grave, E., LeCun, Y. and Scialom, T. (2023) ‘Augmented language models: A survey’, Transactions on Machine Learning Research.</w:t>
      </w:r>
    </w:p>
    <w:p>
      <w:pPr>
        <w:spacing w:after="120" w:line="280"/>
        <w:ind w:left="720" w:hanging="720"/>
      </w:pPr>
      <w:r>
        <w:t xml:space="preserve">Perez, F. and Ribeiro, I. (2022) ‘Ignore previous prompt: Attack techniques for language models’, arXiv preprint arXiv:2211.09527.</w:t>
      </w:r>
    </w:p>
    <w:p>
      <w:pPr>
        <w:spacing w:after="120" w:line="280"/>
        <w:ind w:left="720" w:hanging="720"/>
      </w:pPr>
      <w:r>
        <w:t xml:space="preserve">Piet, J., Alrashed, M., Sitawarin, C., Chen, S., Wei, Z., Sun, E., Alomair, B. and Wagner, D. (2024) ‘Jatmo: Prompt injection defense by task-specific finetuning’, in European Symposium on Research in Computer Security (ESORICS 2024).</w:t>
      </w:r>
    </w:p>
    <w:p>
      <w:pPr>
        <w:spacing w:after="120" w:line="280"/>
        <w:ind w:left="720" w:hanging="720"/>
      </w:pPr>
      <w:r>
        <w:t xml:space="preserve">Schick, T., Dwivedi-Yu, J., Dessì, R., Raileanu, R., Lomeli, M., Zettlemoyer, L., Cancedda, N. and Scialom, T. (2023) ‘Toolformer: Language models can teach themselves to use tools’, in Advances in Neural Information Processing Systems 36 (NeurIPS 2023).</w:t>
      </w:r>
    </w:p>
    <w:p>
      <w:pPr>
        <w:spacing w:after="120" w:line="280"/>
        <w:ind w:left="720" w:hanging="720"/>
      </w:pPr>
      <w:r>
        <w:t xml:space="preserve">Wallace, E., Xiao, K., Leike, R., Weng, L., Heidecke, J. and Beutel, A. (2024) ‘The instruction hierarchy: Training LLMs to prioritize privileged instructions’, arXiv preprint arXiv:2404.13208.</w:t>
      </w:r>
    </w:p>
    <w:p>
      <w:pPr>
        <w:spacing w:after="120" w:line="280"/>
        <w:ind w:left="720" w:hanging="720"/>
      </w:pPr>
      <w:r>
        <w:t xml:space="preserve">Wei, A., Haghtalab, N. and Steinhardt, J. (2023) ‘Jailbroken: How does LLM safety training fail?’, in Advances in Neural Information Processing Systems 36 (NeurIPS 2023).</w:t>
      </w:r>
    </w:p>
    <w:p>
      <w:pPr>
        <w:spacing w:after="120" w:line="280"/>
        <w:ind w:left="720" w:hanging="720"/>
      </w:pPr>
      <w:r>
        <w:t xml:space="preserve">Yao, S., Zhao, J., Yu, D., Du, N., Shafran, I., Narasimhan, K. and Cao, Y. (2023) ‘ReAct: Synergizing reasoning and acting in language models’, in International Conference on Learning Representations (ICLR 2023).</w:t>
      </w:r>
    </w:p>
    <w:p>
      <w:pPr>
        <w:spacing w:after="120" w:line="280"/>
        <w:ind w:left="720" w:hanging="720"/>
      </w:pPr>
      <w:r>
        <w:t xml:space="preserve">Yi, J., Xie, Y., Zhu, B., Hines, K., Kiciman, E., Sun, G., Xie, X. and Wu, F. (2023) ‘Benchmarking and defending against indirect prompt injection attacks on large language models’, arXiv preprint arXiv:2312.14197.</w:t>
      </w:r>
    </w:p>
    <w:p>
      <w:pPr>
        <w:spacing w:after="120" w:line="280"/>
        <w:ind w:left="720" w:hanging="720"/>
      </w:pPr>
      <w:r>
        <w:t xml:space="preserve">Zhan, Q., Liang, Z., Ying, Z. and Kang, D. (2024) ‘InjecAgent: Benchmarking indirect prompt injections in tool-integrated large language model agents’, in Findings of the Association for Computational Linguistics: ACL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 Retnakumar — MSc Dissertation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Dissertation Proposal</dc:title>
  <dc:creator>Pavinithan Retnakumar</dc:creator>
  <cp:lastModifiedBy>Un-named</cp:lastModifiedBy>
  <cp:revision>1</cp:revision>
  <dcterms:created xsi:type="dcterms:W3CDTF">2026-05-29T12:07:30.455Z</dcterms:created>
  <dcterms:modified xsi:type="dcterms:W3CDTF">2026-05-29T12:07:30.455Z</dcterms:modified>
</cp:coreProperties>
</file>

<file path=docProps/custom.xml><?xml version="1.0" encoding="utf-8"?>
<Properties xmlns="http://schemas.openxmlformats.org/officeDocument/2006/custom-properties" xmlns:vt="http://schemas.openxmlformats.org/officeDocument/2006/docPropsVTypes"/>
</file>