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8926B9" w14:textId="77777777" w:rsidR="00E87F9C" w:rsidRPr="00E87F9C" w:rsidRDefault="00E87F9C" w:rsidP="00E87F9C">
      <w:pPr>
        <w:rPr>
          <w:rFonts w:ascii="Arial" w:hAnsi="Arial" w:cs="Arial"/>
        </w:rPr>
      </w:pPr>
      <w:r w:rsidRPr="00E87F9C">
        <w:rPr>
          <w:rFonts w:ascii="Arial" w:hAnsi="Arial" w:cs="Arial"/>
        </w:rPr>
        <w:t xml:space="preserve">The software development life cycle (SDLC) describes the steps that software developers take to create high-quality software. The SDLC is a framework for describing the tasks that must be completed throughout each step of software development. When designing and building apps, organizations can use the </w:t>
      </w:r>
      <w:r w:rsidRPr="00E87F9C">
        <w:rPr>
          <w:rFonts w:ascii="Arial" w:hAnsi="Arial" w:cs="Arial"/>
        </w:rPr>
        <w:t>SDLC process to give structure.</w:t>
      </w:r>
    </w:p>
    <w:p w14:paraId="5E9F465F" w14:textId="77777777" w:rsidR="003950A2" w:rsidRDefault="00E87F9C" w:rsidP="00E87F9C">
      <w:pPr>
        <w:rPr>
          <w:rFonts w:ascii="Arial" w:hAnsi="Arial" w:cs="Arial"/>
        </w:rPr>
      </w:pPr>
      <w:r w:rsidRPr="00E87F9C">
        <w:rPr>
          <w:rFonts w:ascii="Arial" w:hAnsi="Arial" w:cs="Arial"/>
        </w:rPr>
        <w:t>This life cycle serves as a framework for numerous software development processes such as designing, developing, and maintaining software applications. It also includes an approach for improving an organization's software application quality. A range of SDLC process models are available to help organizations adopt a successful software development strategy.</w:t>
      </w:r>
    </w:p>
    <w:p w14:paraId="1F5B8913" w14:textId="77777777" w:rsidR="00E87F9C" w:rsidRDefault="00E87F9C" w:rsidP="00E87F9C">
      <w:pPr>
        <w:rPr>
          <w:rFonts w:ascii="Arial" w:hAnsi="Arial" w:cs="Arial"/>
        </w:rPr>
      </w:pPr>
    </w:p>
    <w:p w14:paraId="15A65A39" w14:textId="77777777" w:rsidR="00E87F9C" w:rsidRDefault="00E87F9C" w:rsidP="00E87F9C">
      <w:pPr>
        <w:rPr>
          <w:rFonts w:ascii="Arial" w:hAnsi="Arial" w:cs="Arial"/>
        </w:rPr>
      </w:pPr>
    </w:p>
    <w:p w14:paraId="29DFF8A7" w14:textId="77777777" w:rsidR="00E87F9C" w:rsidRDefault="00E87F9C" w:rsidP="00E87F9C">
      <w:pPr>
        <w:rPr>
          <w:rFonts w:ascii="Arial" w:hAnsi="Arial" w:cs="Arial"/>
        </w:rPr>
      </w:pPr>
    </w:p>
    <w:p w14:paraId="1052DE23" w14:textId="77777777" w:rsidR="00E87F9C" w:rsidRDefault="00E87F9C" w:rsidP="00E87F9C">
      <w:pPr>
        <w:rPr>
          <w:rFonts w:ascii="Arial" w:hAnsi="Arial" w:cs="Arial"/>
        </w:rPr>
      </w:pPr>
    </w:p>
    <w:p w14:paraId="5620926C" w14:textId="77777777" w:rsidR="00E87F9C" w:rsidRDefault="00E87F9C" w:rsidP="00E87F9C">
      <w:pPr>
        <w:rPr>
          <w:rFonts w:ascii="Arial" w:hAnsi="Arial" w:cs="Arial"/>
        </w:rPr>
      </w:pPr>
    </w:p>
    <w:p w14:paraId="3A9E0B6E" w14:textId="77777777" w:rsidR="00E87F9C" w:rsidRPr="00E87F9C" w:rsidRDefault="00E87F9C" w:rsidP="00E87F9C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  <w:noProof/>
        </w:rPr>
        <w:drawing>
          <wp:inline distT="0" distB="0" distL="0" distR="0" wp14:anchorId="5C295EC4" wp14:editId="3A255CF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7F9C" w:rsidRPr="00E87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F9C"/>
    <w:rsid w:val="003950A2"/>
    <w:rsid w:val="00E8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8FB2D"/>
  <w15:chartTrackingRefBased/>
  <w15:docId w15:val="{96B79DA1-BE75-4EAC-AE1D-C31AE768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Prapti Acharya</dc:creator>
  <cp:keywords/>
  <dc:description/>
  <cp:lastModifiedBy>Prapti Acharya</cp:lastModifiedBy>
  <cp:revision>1</cp:revision>
  <dcterms:created xsi:type="dcterms:W3CDTF">2022-01-18T05:29:00Z</dcterms:created>
  <dcterms:modified xsi:type="dcterms:W3CDTF">2022-01-18T05:46:00Z</dcterms:modified>
</cp:coreProperties>
</file>