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Introduction to DWH and ETL</w:t>
      </w:r>
    </w:p>
    <w:p>
      <w:pPr>
        <w:pBdr>
          <w:bottom w:val="single" w:color="1F3864" w:sz="6" w:space="4"/>
        </w:pBdr>
        <w:spacing w:after="320"/>
      </w:pPr>
      <w:r>
        <w:rPr>
          <w:b/>
          <w:bCs/>
          <w:color w:val="1F3864"/>
          <w:sz w:val="34"/>
          <w:szCs w:val="34"/>
        </w:rPr>
        <w:t xml:space="preserve">Task 5 — Staging Layer: Answer to the Question</w:t>
      </w:r>
    </w:p>
    <w:p>
      <w:pPr>
        <w:pStyle w:val="Heading1"/>
      </w:pPr>
      <w:r>
        <w:t xml:space="preserve">What is the purpose of the staging area?</w:t>
      </w:r>
    </w:p>
    <w:p>
      <w:pPr>
        <w:spacing w:after="200"/>
      </w:pPr>
      <w:r>
        <w:t xml:space="preserve">The staging area (schema prefix </w:t>
      </w:r>
      <w:r>
        <w:rPr>
          <w:b/>
          <w:bCs/>
        </w:rPr>
        <w:t xml:space="preserve">SA_</w:t>
      </w:r>
      <w:r>
        <w:t xml:space="preserve">) is a transient landing zone that holds the two raw NovaTech extracts — </w:t>
      </w:r>
      <w:r>
        <w:rPr>
          <w:b/>
          <w:bCs/>
        </w:rPr>
        <w:t xml:space="preserve">novatech_b2c_orders.csv</w:t>
      </w:r>
      <w:r>
        <w:t xml:space="preserve"> and </w:t>
      </w:r>
      <w:r>
        <w:rPr>
          <w:b/>
          <w:bCs/>
        </w:rPr>
        <w:t xml:space="preserve">novatech_b2b_orders.csv</w:t>
      </w:r>
      <w:r>
        <w:t xml:space="preserve"> — in a shape as close to the original file as the database can represent, before any business transformation, cross-source integration, or surrogate-key generation happens. Concretely, in this project it does three things: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Decouples extraction from transformation. </w:t>
      </w:r>
      <w:r>
        <w:t xml:space="preserve">The </w:t>
      </w:r>
      <w:r>
        <w:rPr>
          <w:b/>
          <w:bCs/>
        </w:rPr>
        <w:t xml:space="preserve">EXT_</w:t>
      </w:r>
      <w:r>
        <w:t xml:space="preserve"> tables (</w:t>
      </w:r>
      <w:r>
        <w:rPr>
          <w:i/>
          <w:iCs/>
        </w:rPr>
        <w:t xml:space="preserve">file_fdw</w:t>
      </w:r>
      <w:r>
        <w:t xml:space="preserve"> foreign tables) are a live, read-only window onto the flat file; the </w:t>
      </w:r>
      <w:r>
        <w:rPr>
          <w:b/>
          <w:bCs/>
        </w:rPr>
        <w:t xml:space="preserve">SRC_</w:t>
      </w:r>
      <w:r>
        <w:t xml:space="preserve"> tables are a physical, typed, deduplicated snapshot of that same data, produced by a single controlled </w:t>
      </w:r>
      <w:r>
        <w:rPr>
          <w:b/>
          <w:bCs/>
        </w:rPr>
        <w:t xml:space="preserve">INSERT … SELECT</w:t>
      </w:r>
      <w:r>
        <w:t xml:space="preserve">. Everything downstream (BL_3NF, BL_DM) reads from </w:t>
      </w:r>
      <w:r>
        <w:rPr>
          <w:b/>
          <w:bCs/>
        </w:rPr>
        <w:t xml:space="preserve">SRC_</w:t>
      </w:r>
      <w:r>
        <w:t xml:space="preserve">, never from the file directly, so a slow file share, a locked file, or a missing extract never blocks the rest of the pipeline.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Isolates the technical reality of two genuinely different source systems. </w:t>
      </w:r>
      <w:r>
        <w:t xml:space="preserve">B2C and B2B were deliberately built with disjoint ID ranges and even different column-naming conventions (Title Case vs. </w:t>
      </w:r>
      <w:r>
        <w:rPr>
          <w:i/>
          <w:iCs/>
        </w:rPr>
        <w:t xml:space="preserve">snake_case</w:t>
      </w:r>
      <w:r>
        <w:t xml:space="preserve">, per the Business Template, Section 1.4). Each gets its own schema (</w:t>
      </w:r>
      <w:r>
        <w:rPr>
          <w:b/>
          <w:bCs/>
        </w:rPr>
        <w:t xml:space="preserve">SA_B2C</w:t>
      </w:r>
      <w:r>
        <w:t xml:space="preserve"> / </w:t>
      </w:r>
      <w:r>
        <w:rPr>
          <w:b/>
          <w:bCs/>
        </w:rPr>
        <w:t xml:space="preserve">SA_B2B</w:t>
      </w:r>
      <w:r>
        <w:t xml:space="preserve">) and its own </w:t>
      </w:r>
      <w:r>
        <w:rPr>
          <w:b/>
          <w:bCs/>
        </w:rPr>
        <w:t xml:space="preserve">EXT_</w:t>
      </w:r>
      <w:r>
        <w:t xml:space="preserve"> / </w:t>
      </w:r>
      <w:r>
        <w:rPr>
          <w:b/>
          <w:bCs/>
        </w:rPr>
        <w:t xml:space="preserve">SRC_</w:t>
      </w:r>
      <w:r>
        <w:t xml:space="preserve"> pair, so neither file’s quirks — e.g. B2C’s </w:t>
      </w:r>
      <w:r>
        <w:rPr>
          <w:i/>
          <w:iCs/>
        </w:rPr>
        <w:t xml:space="preserve">"0-1"</w:t>
      </w:r>
      <w:r>
        <w:t xml:space="preserve">-style delivery-day ranges, or the four B2C columns that are only populated when </w:t>
      </w:r>
      <w:r>
        <w:rPr>
          <w:i/>
          <w:iCs/>
        </w:rPr>
        <w:t xml:space="preserve">RETURN_OR_COMPLAINT = ‘Yes’</w:t>
      </w:r>
      <w:r>
        <w:t xml:space="preserve"> — has to be reconciled with the other file’s shape until a later, dedicated conforming step chooses to do so.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Gives transformation logic a stable, query-able, indexed table to work against, instead of a flat file. </w:t>
      </w:r>
      <w:r>
        <w:t xml:space="preserve">A </w:t>
      </w:r>
      <w:r>
        <w:rPr>
          <w:i/>
          <w:iCs/>
        </w:rPr>
        <w:t xml:space="preserve">file_fdw</w:t>
      </w:r>
      <w:r>
        <w:t xml:space="preserve"> foreign table has no primary key and no statistics worth trusting, and PostgreSQL re-parses the whole CSV on every scan — acceptable for a one-off landing step, but not something the much larger volume of BL_3NF / BL_DM inserts, joins and SCD2 comparisons (1,020,000 order lines combined) should depend on for every run.</w:t>
      </w:r>
    </w:p>
    <w:p>
      <w:pPr>
        <w:pStyle w:val="Heading1"/>
      </w:pPr>
      <w:r>
        <w:t xml:space="preserve">Why is it not possible to load the data directly into the BL_3NF layer?</w:t>
      </w:r>
    </w:p>
    <w:p>
      <w:pPr>
        <w:spacing w:after="200"/>
      </w:pPr>
      <w:r>
        <w:t xml:space="preserve">BL_3NF is the integrated, conformed business layer, and everything that makes it useful depends on inputs the raw files do not provide on their own: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Cross-source conformance has to happen first. </w:t>
      </w:r>
      <w:r>
        <w:t xml:space="preserve">The same physical product appears in both files under two different local Product IDs, conformed only via </w:t>
      </w:r>
      <w:r>
        <w:rPr>
          <w:b/>
          <w:bCs/>
        </w:rPr>
        <w:t xml:space="preserve">SKU</w:t>
      </w:r>
      <w:r>
        <w:t xml:space="preserve">; the same is true for the Customer-vs-Company concept and for Payment Method vs. Payment Terms. Deciding “is this the same real-world thing across two systems” is exactly the business logic BL_3NF exists to apply — it cannot run correctly against two files that don’t yet agree on a shared key, and it should not have to re-derive that agreement from a live file scan on every load.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Surrogate keys, hierarchy decomposition and SCD2 history all need a stable table to compare against. </w:t>
      </w:r>
      <w:r>
        <w:t xml:space="preserve">BL_3NF assigns its own surrogate keys, splits the Product Category › Product Type › SKU hierarchy into separate normalized tables, and (per the BL_DM layer’s later requirements) tracks </w:t>
      </w:r>
      <w:r>
        <w:rPr>
          <w:i/>
          <w:iCs/>
        </w:rPr>
        <w:t xml:space="preserve">ACCOUNT_TIER</w:t>
      </w:r>
      <w:r>
        <w:t xml:space="preserve"> / </w:t>
      </w:r>
      <w:r>
        <w:rPr>
          <w:i/>
          <w:iCs/>
        </w:rPr>
        <w:t xml:space="preserve">LOYALTY_MEMBER</w:t>
      </w:r>
      <w:r>
        <w:t xml:space="preserve"> history with Type-2 SCD logic. None of that can be computed as a side effect of reading a CSV — it requires an existing row set to insert against, update, and compare new arrivals to.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Type-safety and deduplication belong before integration, not during it. </w:t>
      </w:r>
      <w:r>
        <w:rPr>
          <w:i/>
          <w:iCs/>
        </w:rPr>
        <w:t xml:space="preserve">file_fdw</w:t>
      </w:r>
      <w:r>
        <w:t xml:space="preserve"> casts every value to its declared column type eagerly: a single malformed date or non-numeric price anywhere in an 800,000-row file would abort the entire scan. A direct CSV → 3NF transformation would therefore either fail the whole load or risk silently pushing a bad row straight into a layer that downstream dimensions and fact tables already depend on, with no separate place to catch it. Staging keeps every </w:t>
      </w:r>
      <w:r>
        <w:rPr>
          <w:b/>
          <w:bCs/>
        </w:rPr>
        <w:t xml:space="preserve">EXT_</w:t>
      </w:r>
      <w:r>
        <w:t xml:space="preserve"> column as </w:t>
      </w:r>
      <w:r>
        <w:rPr>
          <w:b/>
          <w:bCs/>
        </w:rPr>
        <w:t xml:space="preserve">TEXT</w:t>
      </w:r>
      <w:r>
        <w:t xml:space="preserve"> for exactly this reason, and performs typing, NULL handling, and the </w:t>
      </w:r>
      <w:r>
        <w:rPr>
          <w:i/>
          <w:iCs/>
        </w:rPr>
        <w:t xml:space="preserve">ROW_NUMBER() OVER (PARTITION BY ORDER_ID …)</w:t>
      </w:r>
      <w:r>
        <w:t xml:space="preserve"> deduplication once, in the </w:t>
      </w:r>
      <w:r>
        <w:rPr>
          <w:b/>
          <w:bCs/>
        </w:rPr>
        <w:t xml:space="preserve">SRC_</w:t>
      </w:r>
      <w:r>
        <w:t xml:space="preserve"> load — so any data-quality issue surfaces and is resolved before BL_3NF ever sees the row. (For the current extract this check found zero duplicate order lines in either file; the safeguard is kept so the load stays correct against any future extract that does contain one.)</w:t>
      </w:r>
    </w:p>
    <w:p>
      <w:pPr>
        <w:spacing w:after="200"/>
      </w:pPr>
      <w:r>
        <w:rPr>
          <w:i/>
          <w:iCs/>
        </w:rPr>
        <w:t xml:space="preserve">In short: staging exists so that BL_3NF can assume it is reading clean, typed, deduplicated, single-shaped data — an assumption that does not hold for two raw, differently-shaped flat files arriving straight from two unrelated source systems.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2026-06-29T14:00:59.427Z</dcterms:created>
  <dcterms:modified xsi:type="dcterms:W3CDTF">2026-06-29T14:00:59.428Z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