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tbl>
      <w:tblPr>
        <w:tblInd w:w="68" w:type="dxa"/>
      </w:tblPr>
      <w:tblGrid>
        <w:gridCol w:w="3848"/>
        <w:gridCol w:w="5933"/>
      </w:tblGrid>
      <w:tr>
        <w:trPr>
          <w:trHeight w:val="3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jun 2025</w:t>
            </w:r>
          </w:p>
        </w:tc>
      </w:tr>
      <w:tr>
        <w:trPr>
          <w:trHeight w:val="525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63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2880"/>
        <w:gridCol w:w="2880"/>
        <w:gridCol w:w="2880"/>
      </w:tblGrid>
      <w:tr>
        <w:trPr>
          <w:trHeight w:val="200" w:hRule="auto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2760" w:hRule="auto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cities lack integrated, intelligent systems that can provide real-time, personalized sustainability guidance to citizens while supporting city planners with predictive analytics and cross-domain insights, leading to inefficiencies, low engagement, and poor resource optimization.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solution is an AI-powered assistant that consolidates data from smart city infrastructure (IoT sensors, GIS, utilities) to provide real-time alerts, sustainability recommendations, urban insights, and two-way communication between city authorities and residents. It can be accessed via mobile apps, kiosks, or voice interfaces.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5" w:hRule="auto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Unified conversational AI for all smart city services.</w:t>
              <w:br/>
              <w:t xml:space="preserve">- Personalized sustainability insights using granite LLM</w:t>
              <w:br/>
              <w:t xml:space="preserve">- Integration across departments (traffic, waste, energy) via interoperable APIs.</w:t>
              <w:br/>
              <w:t xml:space="preserve">- Predictive analytics for city maintenance and planning.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Increases citizen awareness and participation in sustainability goals.</w:t>
              <w:br/>
              <w:t xml:space="preserve">- Improves quality of urban life through efficient resource usage.</w:t>
              <w:br/>
              <w:t xml:space="preserve">- Provides faster access to services and information.</w:t>
              <w:br/>
              <w:t xml:space="preserve">- Empowers marginalized groups by offering multilingual, accessible AI interfaces.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municipalities with tiered pricing based on population size.</w:t>
              <w:br/>
              <w:t xml:space="preserve">- Licensing to private smart city consultants and developers.</w:t>
              <w:br/>
              <w:t xml:space="preserve">- Data analytics dashboards sold as premium features.</w:t>
              <w:br/>
              <w:t xml:space="preserve">- Grants and public-private partnerships for smart infrastructure development.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