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CodeGraph architecture and technology guide</w:t>
      </w:r>
    </w:p>
    <w:p>
      <w:r>
        <w:t>A practical design for building a repository explorer while learning parsing, static analysis, graph modeling and backend engineering. Start with a Python vertical slice, then add restricted Java support. This is a proposed design, not a report of software already implemented.</w:t>
      </w:r>
    </w:p>
    <w:p>
      <w:pPr>
        <w:pStyle w:val="Heading2"/>
      </w:pPr>
      <w:r>
        <w:t>What you are building</w:t>
      </w:r>
    </w:p>
    <w:p>
      <w:r>
        <w:t>CodeGraph turns source structure into nodes and evidence-backed relationships. A developer can search for a function, expand its callers or callees, follow inheritance, inspect import cycles, and open the source that justifies each connection. It answers structural questions without requiring embeddings or a vector database.</w:t>
      </w:r>
    </w:p>
    <w:p>
      <w:pPr>
        <w:pStyle w:val="Heading2"/>
      </w:pPr>
      <w:r>
        <w:t>The crucial distinction</w:t>
      </w:r>
    </w:p>
    <w:p>
      <w:r>
        <w:t>A parser recognizes syntax; a resolver interprets names within scopes and modules. Tree-sitter produces concrete syntax trees, from which CodeGraph extracts a smaller semantic model [1]. It does not supply a complete cross-language call graph. NetworkX operates on graphs after extraction; it does not replace a parser [2].</w:t>
      </w:r>
    </w:p>
    <w:p>
      <w:r>
        <w:t>For example, seeing service.save() proves a call expression exists. It may not prove which save method will run. CodeGraph should show the call site even when its target is unknown. Deterministic extraction means repeatable results for the same snapshot and analyzer version, not perfect knowledge of runtime behavior.</w:t>
      </w:r>
    </w:p>
    <w:p>
      <w:pPr>
        <w:pStyle w:val="Heading2"/>
      </w:pPr>
      <w:r>
        <w:t>Core questions and boundaries</w:t>
      </w:r>
    </w:p>
    <w:p>
      <w:pPr>
        <w:pStyle w:val="ListBullet"/>
      </w:pPr>
      <w:r>
        <w:t>Where is a symbol defined, and what contains it?</w:t>
      </w:r>
    </w:p>
    <w:p>
      <w:pPr>
        <w:pStyle w:val="ListBullet"/>
      </w:pPr>
      <w:r>
        <w:t>Which known functions call this function within three edges?</w:t>
      </w:r>
    </w:p>
    <w:p>
      <w:pPr>
        <w:pStyle w:val="ListBullet"/>
      </w:pPr>
      <w:r>
        <w:t>Which classes explicitly inherit from this class?</w:t>
      </w:r>
    </w:p>
    <w:p>
      <w:pPr>
        <w:pStyle w:val="ListBullet"/>
      </w:pPr>
      <w:r>
        <w:t>Which files form an import cycle, and what source statements establish it?</w:t>
      </w:r>
    </w:p>
    <w:p>
      <w:r>
        <w:t>The first version is a local, single-user tool. It imports supported parts of a repository and reports coverage. Reflection, runtime injection, dynamic imports and arbitrary external code remain limitations. A graph of syntax relationships is useful without claiming to reconstruct every execution path.</w:t>
      </w:r>
    </w:p>
    <w:p>
      <w:pPr>
        <w:pStyle w:val="Heading2"/>
      </w:pPr>
      <w:r>
        <w:t>Recommended learning order</w:t>
      </w:r>
    </w:p>
    <w:p>
      <w:r>
        <w:t>Read this guide for component roles and data flow. Follow the implementation workbook for milestones and exercises. Paste CodeGraph_Build_Prompt.md into your coding assistant to build the application and maintain a project-specific learning journal.</w:t>
      </w:r>
    </w:p>
    <w:p>
      <w:pPr>
        <w:pStyle w:val="Heading1"/>
        <w:pageBreakBefore/>
      </w:pPr>
      <w:r>
        <w:t>Technology decisions</w:t>
      </w:r>
    </w:p>
    <w:tbl>
      <w:tblPr>
        <w:tblW w:type="auto" w:w="0"/>
        <w:tblLayout w:type="fixed"/>
        <w:tblLook w:firstColumn="1" w:firstRow="1" w:lastColumn="0" w:lastRow="0" w:noHBand="0" w:noVBand="1" w:val="04A0"/>
      </w:tblPr>
      <w:tblGrid>
        <w:gridCol w:w="1656"/>
        <w:gridCol w:w="2376"/>
        <w:gridCol w:w="6048"/>
      </w:tblGrid>
      <w:tr>
        <w:trPr>
          <w:tblHeader/>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F0"/>
          </w:tcPr>
          <w:p>
            <w:pPr>
              <w:spacing w:after="60" w:before="60"/>
            </w:pPr>
            <w:r>
              <w:rPr>
                <w:b/>
                <w:sz w:val="20"/>
              </w:rPr>
              <w:t>Component</w:t>
            </w:r>
          </w:p>
        </w:tc>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F0"/>
          </w:tcPr>
          <w:p>
            <w:pPr>
              <w:spacing w:after="60" w:before="60"/>
            </w:pPr>
            <w:r>
              <w:rPr>
                <w:b/>
                <w:sz w:val="20"/>
              </w:rPr>
              <w:t>Choice</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F0"/>
          </w:tcPr>
          <w:p>
            <w:pPr>
              <w:spacing w:after="60" w:before="60"/>
            </w:pPr>
            <w:r>
              <w:rPr>
                <w:b/>
                <w:sz w:val="20"/>
              </w:rPr>
              <w:t>Reason and trade off</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Parsing</w:t>
            </w:r>
          </w:p>
        </w:tc>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Tree-sitter plus grammars</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Shared extraction approach across languages; semantic resolution remains your responsibility.</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Persistence</w:t>
            </w:r>
          </w:p>
        </w:tc>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SQLite</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Simple local setup and transactional snapshots; limited write concurrency.</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Graph algorithms</w:t>
            </w:r>
          </w:p>
        </w:tc>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Bounded BFS plus NetworkX</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BFS serves interactive neighborhoods; NetworkX helps analyze selected graph projections.</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API</w:t>
            </w:r>
          </w:p>
        </w:tc>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FastAPI and Pydantic</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Typed HTTP contracts and validation fit the Python analysis pipeline.</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Frontend</w:t>
            </w:r>
          </w:p>
        </w:tc>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React and vis-network</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Product-style UI with interactive directed graphs; requires frontend state and rendering work.</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Jobs</w:t>
            </w:r>
          </w:p>
        </w:tc>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SQLite records and worker</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Restart-visible status without adding a broker; one writer keeps initial operations simple.</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Quality</w:t>
            </w:r>
          </w:p>
        </w:tc>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pytest and small fixtures</w:t>
            </w:r>
          </w:p>
        </w:tc>
        <w:tc>
          <w:tcPr>
            <w:tcW w:type="dxa" w:w="60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Known expected facts expose subtle false relationships better than screenshots alone.</w:t>
            </w:r>
          </w:p>
        </w:tc>
      </w:tr>
    </w:tbl>
    <w:p/>
    <w:p>
      <w:pPr>
        <w:pStyle w:val="Heading2"/>
      </w:pPr>
      <w:r>
        <w:t>Why not start with every alternative</w:t>
      </w:r>
    </w:p>
    <w:p>
      <w:r>
        <w:t>Python’s built-in ast module is a good alternative for a Python-only tool, but a Tree-sitter adapter contract makes the Java phase more consistent. Streamlit can validate a concept quickly; React better supports a persistent source panel, query controls and a polished explorer. These are project choices, not claims that one framework is universally better.</w:t>
      </w:r>
    </w:p>
    <w:p>
      <w:r>
        <w:t>SQLite can represent nodes and directed edges in ordinary tables. Recursive queries are available [3], although explicit bounded BFS is easier to instrument for this MVP. Neo4j becomes worth evaluating when graph workloads, team usage or query complexity justify a separate service. Benchmark first; do not migrate only because the word graph appears in the project.</w:t>
      </w:r>
    </w:p>
    <w:p>
      <w:r>
        <w:t>Keep CPU-intensive indexing out of HTTP request processing. FastAPI’s background-task guidance distinguishes lightweight work from heavier processing [4]. The proposed separate worker adds job recovery and progress semantics without immediately requiring RabbitMQ.</w:t>
      </w:r>
    </w:p>
    <w:p>
      <w:pPr>
        <w:pStyle w:val="Heading1"/>
        <w:pageBreakBefore/>
      </w:pPr>
      <w:r>
        <w:t>From source files to graph facts</w:t>
      </w:r>
    </w:p>
    <w:p>
      <w:pPr>
        <w:pStyle w:val="Heading2"/>
      </w:pPr>
      <w:r>
        <w:t>A traceable example</w:t>
      </w:r>
    </w:p>
    <w:p>
      <w:r>
        <w:t>Imagine api.py imports submit from service.py. Its place_order function calls submit(). In service.py, submit calls validate(), then store(). The initial graph contains both files and four function nodes, containment edges, an import edge, and three resolved CALLS relationships: place_order to submit, submit to validate, and submit to store.</w:t>
      </w:r>
    </w:p>
    <w:p>
      <w:pPr>
        <w:pStyle w:val="Heading2"/>
      </w:pPr>
      <w:r>
        <w:t>Pass one extracts what is present</w:t>
      </w:r>
    </w:p>
    <w:p>
      <w:r>
        <w:t>Discover permitted files and read their bytes. The Python adapter walks syntax nodes and emits normalized records for declarations, lexical scopes, imports and call sites. A function record includes its name, containing scope, signature, relative path and byte/line span. A call-site record includes the caller, expression text and location, even before a target is known.</w:t>
      </w:r>
    </w:p>
    <w:p>
      <w:r>
        <w:t>This intermediate representation is comparable to a DTO boundary in a Java service. It prevents parser-specific node objects from leaking into database and API code. A second language can produce the same records through a separate adapter.</w:t>
      </w:r>
    </w:p>
    <w:p>
      <w:pPr>
        <w:pStyle w:val="Heading2"/>
      </w:pPr>
      <w:r>
        <w:t>Pass two resolves supported references</w:t>
      </w:r>
    </w:p>
    <w:p>
      <w:r>
        <w:t>Build module and scope indexes over all extracted declarations. Resolve submit through the explicit import, then resolve validate and store through known bindings in service.py. Two passes make resolution independent of directory traversal order. Local parameters and assignments can shadow names, so the resolver must check bindings before linking an apparent match.</w:t>
      </w:r>
    </w:p>
    <w:p>
      <w:r>
        <w:t>If submit receives a parameter named store, the expression store() may refer to that argument rather than the module function. Record it as unresolved unless the supported analysis proves a target. Never select a target simply because its name matches. Java overloads require signature-aware identity and often type information to resolve calls.</w:t>
      </w:r>
    </w:p>
    <w:p>
      <w:pPr>
        <w:pStyle w:val="Heading2"/>
      </w:pPr>
      <w:r>
        <w:t>Docs and configs follow different rules</w:t>
      </w:r>
    </w:p>
    <w:p>
      <w:r>
        <w:t>Markdown relative links can become REFERENCES edges when their paths resolve inside the repository. Dependency entries in pyproject.toml and pom.xml can become DECLARES_DEPENDENCY edges. These facts mean “declares” or “references”, not “executes” or “depends on at runtime”. Broad prose interpretation belongs in a later, separately evaluated feature.</w:t>
      </w:r>
    </w:p>
    <w:p>
      <w:pPr>
        <w:pStyle w:val="Heading2"/>
      </w:pPr>
      <w:r>
        <w:t>Evidence is part of the product</w:t>
      </w:r>
    </w:p>
    <w:p>
      <w:r>
        <w:t>A relationship must retain file, source span, rule and resolution status. The UI should let the user inspect why the edge exists. Display lines are one-based; parser byte offsets remain separate because Unicode characters do not always occupy one byte.</w:t>
      </w:r>
    </w:p>
    <w:p>
      <w:pPr>
        <w:pStyle w:val="Heading1"/>
        <w:pageBreakBefore/>
      </w:pPr>
      <w:r>
        <w:t>Storage and query design</w:t>
      </w:r>
    </w:p>
    <w:tbl>
      <w:tblPr>
        <w:tblW w:type="auto" w:w="0"/>
        <w:tblLayout w:type="fixed"/>
        <w:tblLook w:firstColumn="1" w:firstRow="1" w:lastColumn="0" w:lastRow="0" w:noHBand="0" w:noVBand="1" w:val="04A0"/>
      </w:tblPr>
      <w:tblGrid>
        <w:gridCol w:w="1800"/>
        <w:gridCol w:w="8280"/>
      </w:tblGrid>
      <w:tr>
        <w:trPr>
          <w:tblHeader/>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F0"/>
          </w:tcPr>
          <w:p>
            <w:pPr>
              <w:spacing w:after="60" w:before="60"/>
            </w:pPr>
            <w:r>
              <w:rPr>
                <w:b/>
                <w:sz w:val="20"/>
              </w:rPr>
              <w:t>Record</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F0"/>
          </w:tcPr>
          <w:p>
            <w:pPr>
              <w:spacing w:after="60" w:before="60"/>
            </w:pPr>
            <w:r>
              <w:rPr>
                <w:b/>
                <w:sz w:val="20"/>
              </w:rPr>
              <w:t>Essential fields</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Snapshot</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Repository ID, snapshot ID, source revision or manifest hash, analyzer version, status</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Node</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Logical ID, snapshot ID, kind, name, qualified scope, signature, file and span</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Edge</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Snapshot ID, source ID, target ID, relation, resolution rule, evidence locations</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Call site</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Caller, expression, file and span, resolved target or unresolved reason</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File and job</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File hash and diagnostics; job state, progress, timestamps and error</w:t>
            </w:r>
          </w:p>
        </w:tc>
      </w:tr>
    </w:tbl>
    <w:p/>
    <w:p>
      <w:r>
        <w:t>Index outgoing adjacency by snapshot, relation and source; index incoming adjacency by snapshot, relation and target. Search names and paths separately from graph traversal. Full-text search is lexical retrieval, not an embedding system. Store normalized facts once and load only the subgraph needed for a query.</w:t>
      </w:r>
    </w:p>
    <w:p>
      <w:pPr>
        <w:pStyle w:val="Heading2"/>
      </w:pPr>
      <w:r>
        <w:t>Identity and versioning</w:t>
      </w:r>
    </w:p>
    <w:p>
      <w:r>
        <w:t>Logical IDs derive from repository identity, relative path, symbol kind, qualified scope and normalized signature, with a documented duplicate-definition rule. Do not use line number alone: inserting a blank line should not rename every symbol. Snapshot IDs separate versions of the same logical symbol. Renames and moves may be represented as deletion plus addition in the MVP.</w:t>
      </w:r>
    </w:p>
    <w:p>
      <w:pPr>
        <w:pStyle w:val="Heading2"/>
      </w:pPr>
      <w:r>
        <w:t>Three hop traversal</w:t>
      </w:r>
    </w:p>
    <w:p>
      <w:r>
        <w:t>Given A calls B, B calls C, C calls D and D calls E, an outgoing query from A at depth three returns A, B, C and D. Depth counts edges, and A has depth zero. An incoming query from D returns D, C, B and A. Use breadth-first search, a visited set and explicit edge filters. Cycles must not cause infinite traversal.</w:t>
      </w:r>
    </w:p>
    <w:p>
      <w:r>
        <w:t>Return shortest discovery depth and witness edges with each result. Cap node and edge counts and report truncation. A bounded neighborhood answers reachability; it does not enumerate all possible paths. All-path enumeration grows quickly and should not be hidden inside a simple expand button.</w:t>
      </w:r>
    </w:p>
    <w:p>
      <w:pPr>
        <w:pStyle w:val="Heading2"/>
      </w:pPr>
      <w:r>
        <w:t>Safe indexing and updates</w:t>
      </w:r>
    </w:p>
    <w:p>
      <w:r>
        <w:t>Write a new snapshot into staging, validate it, then atomically switch the repository’s current snapshot pointer. A failed job leaves the old snapshot usable. Start with full rebuilds. Later, reuse unchanged extraction results by file hash but rerun resolution across the repository when declarations or imports change: an unchanged caller can be affected by a changed callee.</w:t>
      </w:r>
    </w:p>
    <w:p>
      <w:pPr>
        <w:pStyle w:val="Heading1"/>
        <w:pageBreakBefore/>
      </w:pPr>
      <w:r>
        <w:t>Limits extensions and reference material</w:t>
      </w:r>
    </w:p>
    <w:p>
      <w:pPr>
        <w:pStyle w:val="Heading2"/>
      </w:pPr>
      <w:r>
        <w:t>Where static analysis stops</w:t>
      </w:r>
    </w:p>
    <w:p>
      <w:r>
        <w:t>Python rebinding, decorators and monkey-patching can change runtime targets. Java virtual dispatch and Spring injection can select implementations not evident from a single syntax tree. Keep certain syntactic facts separate from candidate runtime targets. “No known incoming calls” is not proof of dead code, and reverse reachability is not proof of a production failure.</w:t>
      </w:r>
    </w:p>
    <w:p>
      <w:pPr>
        <w:pStyle w:val="Heading2"/>
      </w:pPr>
      <w:r>
        <w:t>A useful later AI extension</w:t>
      </w:r>
    </w:p>
    <w:p>
      <w:r>
        <w:t>After the graph is reliable, add a read-only assistant that converts a question into a validated query object, runs bounded graph tools and explains retrieved evidence. For example: “What might be affected if validate_order changes?” becomes incoming CALLS traversal plus source lookup. An LLM must not create authoritative edges or execute arbitrary SQL.</w:t>
      </w:r>
    </w:p>
    <w:p>
      <w:r>
        <w:t>LangChain can provide model/tool integration and LangGraph can orchestrate validation, retrieval, explanation and abstention. Treat these as optional design directions requiring fresh dependency/API verification when implemented. This extension can be graph-grounded retrieval augmented generation without a vector database. The deterministic core itself is static analysis, not an AI agent.</w:t>
      </w:r>
    </w:p>
    <w:p>
      <w:pPr>
        <w:pStyle w:val="Heading2"/>
      </w:pPr>
      <w:r>
        <w:t>What to verify before implementation</w:t>
      </w:r>
    </w:p>
    <w:p>
      <w:pPr>
        <w:pStyle w:val="ListBullet"/>
      </w:pPr>
      <w:r>
        <w:t>Pin mutually compatible Tree-sitter bindings and grammars after running a minimal parse test.</w:t>
      </w:r>
    </w:p>
    <w:p>
      <w:pPr>
        <w:pStyle w:val="ListBullet"/>
      </w:pPr>
      <w:r>
        <w:t>Confirm FTS5 availability in the actual SQLite runtime or implement a documented fallback.</w:t>
      </w:r>
    </w:p>
    <w:p>
      <w:pPr>
        <w:pStyle w:val="ListBullet"/>
      </w:pPr>
      <w:r>
        <w:t>Document the exact Python and Java features supported; language names alone overstate coverage.</w:t>
      </w:r>
    </w:p>
    <w:p>
      <w:pPr>
        <w:pStyle w:val="ListBullet"/>
      </w:pPr>
      <w:r>
        <w:t>Measure representative repositories before claiming latency, accuracy or scalability.</w:t>
      </w:r>
    </w:p>
    <w:p>
      <w:pPr>
        <w:pStyle w:val="Heading2"/>
      </w:pPr>
      <w:r>
        <w:t>Primary references</w:t>
      </w:r>
    </w:p>
    <w:p>
      <w:r>
        <w:t>Official documentation checked on 29 September 2026. These support component capabilities; architecture and milestone choices in these guides are proposed engineering decisions.</w:t>
      </w:r>
    </w:p>
    <w:p>
      <w:r>
        <w:t>[1] Tree-sitter introduction — https://tree-sitter.github.io/tree-sitter/</w:t>
      </w:r>
    </w:p>
    <w:p>
      <w:r>
        <w:t>[2] NetworkX documentation — https://networkx.org/documentation/stable/</w:t>
      </w:r>
    </w:p>
    <w:p>
      <w:r>
        <w:t>[3] SQLite WITH and recursive queries — https://www.sqlite.org/lang_with.html</w:t>
      </w:r>
    </w:p>
    <w:p>
      <w:r>
        <w:t>[4] FastAPI background tasks — https://fastapi.tiangolo.com/tutorial/background-tasks/</w:t>
      </w:r>
    </w:p>
    <w:p>
      <w:r>
        <w:t>[5] vis-network documentation — https://visjs.github.io/vis-network/docs/network/</w:t>
      </w:r>
    </w:p>
    <w:p>
      <w:r>
        <w:t>The supplied GitHub knowledge-graph topic page is a discovery directory, not an implementation specification or proof that this feature set is novel: https://github.com/topics/knowledge-graph</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CodeGraph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CODEGRAPH  •  ENGINEERING LEARNING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