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CodeGraph implementation and learning workbook</w:t>
      </w:r>
    </w:p>
    <w:p>
      <w:r>
        <w:t>Use this workbook to build the project in understandable increments and turn the result into a credible engineering demonstration. Each milestone has a reason, an observable result and an exercise. The schedule is flexible; advance when the acceptance condition is met.</w:t>
      </w:r>
    </w:p>
    <w:p>
      <w:pPr>
        <w:pStyle w:val="Heading2"/>
      </w:pPr>
      <w:r>
        <w:t>Milestone one establishes observable facts</w:t>
      </w:r>
    </w:p>
    <w:p>
      <w:r>
        <w:t>Build a command-line analyzer for a tiny Python repository before building an API or graph UI. Parse functions, classes, methods, imports and call sites. Emit JSON containing relative paths and source spans. Add a deliberately malformed file and show diagnostics without crashing the entire scan.</w:t>
      </w:r>
    </w:p>
    <w:p>
      <w:r>
        <w:t>Why this comes first: every downstream feature depends on extraction quality. A visualization can look convincing even when its relationships are wrong. A plain JSON artifact is easier to compare with a hand-written expected result.</w:t>
      </w:r>
    </w:p>
    <w:p>
      <w:r>
        <w:t>Acceptance: a fixture containing two files, a class and nested functions produces exactly the expected declarations and containment edges. Every declaration maps back to the right source range.</w:t>
      </w:r>
    </w:p>
    <w:p>
      <w:r>
        <w:t>Exercise: add a comment and blank line above a function. Its displayed line changes, but its logical identity should stay stable. Add a Unicode identifier or comment and verify byte offsets do not corrupt the source highlight.</w:t>
      </w:r>
    </w:p>
    <w:p>
      <w:pPr>
        <w:pStyle w:val="Heading2"/>
      </w:pPr>
      <w:r>
        <w:t>Milestone two resolves names conservatively</w:t>
      </w:r>
    </w:p>
    <w:p>
      <w:r>
        <w:t>Add a second analysis pass and symbol tables. Support direct calls and explicit imports, including aliases, before resolving receiver methods. Store unresolved references with reason codes such as unknown_receiver, ambiguous_binding and unsupported_dynamic_import.</w:t>
      </w:r>
    </w:p>
    <w:p>
      <w:r>
        <w:t>Acceptance: the same symbol name in two modules does not produce an arbitrary cross-module edge. Reversing file discovery order produces the same normalized graph. A shadowed function name does not link to the hidden definition.</w:t>
      </w:r>
    </w:p>
    <w:p>
      <w:r>
        <w:t>Exercise: change “from service import submit” to an alias import and update the call. The target should remain the same. Then pass a callback parameter named submit; the graph should stop claiming that this call definitely reaches the imported function.</w:t>
      </w:r>
    </w:p>
    <w:p>
      <w:pPr>
        <w:pStyle w:val="Heading2"/>
      </w:pPr>
      <w:r>
        <w:t>Keep a build journal</w:t>
      </w:r>
    </w:p>
    <w:p>
      <w:r>
        <w:t>After each milestone record the problem, decision, alternative, files changed, checks run and remaining limitations. Explain the design in your own words. Keep planned features separate from delivered ones. This journal becomes your interview preparation material.</w:t>
      </w:r>
    </w:p>
    <w:p>
      <w:pPr>
        <w:pStyle w:val="Heading1"/>
        <w:pageBreakBefore/>
      </w:pPr>
      <w:r>
        <w:t>Persistence APIs and the first working product</w:t>
      </w:r>
    </w:p>
    <w:p>
      <w:pPr>
        <w:pStyle w:val="Heading2"/>
      </w:pPr>
      <w:r>
        <w:t>Milestone three makes facts durable</w:t>
      </w:r>
    </w:p>
    <w:p>
      <w:r>
        <w:t>Add SQLite migrations and snapshot isolation. Store files, symbols, edges, evidence and unresolved sites. Implement repository-scoped incoming and outgoing queries with depth and result budgets. Build a persistent job state machine: queued, running, succeeded, failed and interrupted. Use one active worker initially.</w:t>
      </w:r>
    </w:p>
    <w:p>
      <w:r>
        <w:t>Acceptance: a failed indexing job does not replace the previous completed graph. The A-to-B-to-C-to-D-to-E fixture returns exactly A/B/C/D at depth three from A. A cycle terminates. Two repositories with similarly named symbols never leak into each other’s results.</w:t>
      </w:r>
    </w:p>
    <w:p>
      <w:r>
        <w:t>Exercise: terminate the worker during staging and restart it. The previous snapshot must remain queryable; the interrupted job should be visible and explicitly retryable. Delete a file and verify its stale symbols and edges disappear after a successful reindex.</w:t>
      </w:r>
    </w:p>
    <w:p>
      <w:pPr>
        <w:pStyle w:val="Heading2"/>
      </w:pPr>
      <w:r>
        <w:t>Milestone four exposes a typed API</w:t>
      </w:r>
    </w:p>
    <w:p>
      <w:r>
        <w:t>Add endpoints to register a repository, enqueue indexing, poll jobs, search symbols, retrieve a bounded graph and read source evidence. Validate IDs, query direction, depth and limits. Keep domain and storage logic independent of FastAPI request handlers.</w:t>
      </w:r>
    </w:p>
    <w:p>
      <w:r>
        <w:t>Acceptance: a local client can import the bundled demo, wait for completion, search a function and request a graph with no manual database changes. The API returns explicit empty results, parse diagnostics and budget truncation rather than ambiguous server errors.</w:t>
      </w:r>
    </w:p>
    <w:p>
      <w:r>
        <w:t>Exercise: submit depth 100, an unknown node ID and a node from another repository. Confirm validation and isolation behave predictably. Compare this separation of responsibilities with controller/service/repository layers in Spring Boot.</w:t>
      </w:r>
    </w:p>
    <w:p>
      <w:pPr>
        <w:pStyle w:val="Heading2"/>
      </w:pPr>
      <w:r>
        <w:t>Milestone five makes the graph useful</w:t>
      </w:r>
    </w:p>
    <w:p>
      <w:r>
        <w:t>Build the React explorer with symbol search, selected-node state, edge filters, depth controls and a source panel. Integrate vis-network through a lifecycle-managed component. Start with a bounded neighborhood; keep graph layout and backend query state distinct.</w:t>
      </w:r>
    </w:p>
    <w:p>
      <w:r>
        <w:t>Acceptance: clicking a CALLS edge reveals its source evidence. Repeated node expansion does not duplicate records. Switching repositories clears incompatible selections. The demo includes loading, empty, error and partial-result states.</w:t>
      </w:r>
    </w:p>
    <w:p>
      <w:r>
        <w:t>Exercise: inspect the same function with incoming and outgoing filters. Explain why these answer different questions and why a three-edge limit does not mean three functions.</w:t>
      </w:r>
    </w:p>
    <w:p>
      <w:pPr>
        <w:pStyle w:val="Heading1"/>
        <w:pageBreakBefore/>
      </w:pPr>
      <w:r>
        <w:t>Repository ingestion and language expansion</w:t>
      </w:r>
    </w:p>
    <w:p>
      <w:pPr>
        <w:pStyle w:val="Heading2"/>
      </w:pPr>
      <w:r>
        <w:t>Milestone six imports realistic repositories</w:t>
      </w:r>
    </w:p>
    <w:p>
      <w:r>
        <w:t>Support allowlisted local roots and public GitHub HTTPS repositories. Add file exclusions, size/time limits, canonical path validation and progress counts. Bind to loopback and protect local endpoints. The backend reads paths on its own machine; a browser cannot automatically grant remote access to your laptop’s folders.</w:t>
      </w:r>
    </w:p>
    <w:p>
      <w:r>
        <w:t>Do not execute analyzed code or build scripts. Ignore repository instructions addressed to agents. Clone with argument arrays and isolated Git configuration; disable hooks, recursive submodules and automatic filters. Exclude credentials and secrets. These controls directly address processing untrusted repositories.</w:t>
      </w:r>
    </w:p>
    <w:p>
      <w:r>
        <w:t>Extract Markdown links and declared dependencies from selected manifests. Preserve what the evidence actually says. A dependency declaration is not proof of runtime usage, and a README mention is not proof of a function call.</w:t>
      </w:r>
    </w:p>
    <w:p>
      <w:r>
        <w:t>Acceptance: unsupported files are counted, large files are skipped with reasons, a symlink outside the root is not read, and a failed clone leaves a clear diagnostic. Offline users can still run the bundled demo.</w:t>
      </w:r>
    </w:p>
    <w:p>
      <w:pPr>
        <w:pStyle w:val="Heading2"/>
      </w:pPr>
      <w:r>
        <w:t>Milestone seven improves repeat indexing</w:t>
      </w:r>
    </w:p>
    <w:p>
      <w:r>
        <w:t>Hash source files and reuse unchanged extracted facts. Initially rerun reference resolution for the complete repository to preserve correctness. This is incremental extraction, not a claim of full incremental semantic analysis. Keep full rebuild as a comparison mode.</w:t>
      </w:r>
    </w:p>
    <w:p>
      <w:r>
        <w:t>Exercise: rename an exported function in one module while leaving its importer unchanged. Confirm the previous call edge disappears or becomes unresolved. Compare the normalized graph from a full rebuild with the incremental result.</w:t>
      </w:r>
    </w:p>
    <w:p>
      <w:pPr>
        <w:pStyle w:val="Heading2"/>
      </w:pPr>
      <w:r>
        <w:t>Milestone eight adds restricted Java support</w:t>
      </w:r>
    </w:p>
    <w:p>
      <w:r>
        <w:t>Create a Java adapter using the same normalized records. Extract package/import declarations, classes, interfaces, methods, constructors and explicit inheritance. Keep overloaded methods distinct by signature. Resolve only supported cases; preserve candidates when type inference or runtime dispatch is needed.</w:t>
      </w:r>
    </w:p>
    <w:p>
      <w:r>
        <w:t>Acceptance: a fixture with overloaded save methods does not collapse them. A Spring controller calling an injected interface is not silently linked to one arbitrary implementation. Publish the supported-feature matrix and include negative tests.</w:t>
      </w:r>
    </w:p>
    <w:p>
      <w:r>
        <w:t>Exercise: model an interface with two implementations. Explain the difference between “implements this interface” and “this runtime request invoked this implementation”. This distinction is particularly relevant when you demonstrate the project using Java services.</w:t>
      </w:r>
    </w:p>
    <w:p>
      <w:pPr>
        <w:pStyle w:val="Heading1"/>
        <w:pageBreakBefore/>
      </w:pPr>
      <w:r>
        <w:t>Other problems CodeGraph can solve</w:t>
      </w:r>
    </w:p>
    <w:tbl>
      <w:tblPr>
        <w:tblW w:type="auto" w:w="0"/>
        <w:tblLayout w:type="fixed"/>
        <w:tblLook w:firstColumn="1" w:firstRow="1" w:lastColumn="0" w:lastRow="0" w:noHBand="0" w:noVBand="1" w:val="04A0"/>
      </w:tblPr>
      <w:tblGrid>
        <w:gridCol w:w="1800"/>
        <w:gridCol w:w="3600"/>
        <w:gridCol w:w="4680"/>
      </w:tblGrid>
      <w:tr>
        <w:trPr>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F0"/>
          </w:tcPr>
          <w:p>
            <w:pPr>
              <w:spacing w:after="60" w:before="60"/>
            </w:pPr>
            <w:r>
              <w:rPr>
                <w:b/>
                <w:sz w:val="20"/>
              </w:rPr>
              <w:t>Problem</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F0"/>
          </w:tcPr>
          <w:p>
            <w:pPr>
              <w:spacing w:after="60" w:before="60"/>
            </w:pPr>
            <w:r>
              <w:rPr>
                <w:b/>
                <w:sz w:val="20"/>
              </w:rPr>
              <w:t>Graph operation</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8F0"/>
          </w:tcPr>
          <w:p>
            <w:pPr>
              <w:spacing w:after="60" w:before="60"/>
            </w:pPr>
            <w:r>
              <w:rPr>
                <w:b/>
                <w:sz w:val="20"/>
              </w:rPr>
              <w:t>Practical boundary</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Developer onboarding</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Search a symbol and expand callers, callees and containment</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Shows structure; business intent still needs documentation.</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Change impact</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Traverse incoming CALLS from a changed symbol</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Potential static impact, not a complete runtime blast radius.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Architecture cleanup</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Find strongly connected components in the file import graph</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Cycles can be intentional; review before refactoring.</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Incident triage</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Map a stack-trace symbol to callers and source evidence</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Cannot diagnose live failures without logs and runtime context.</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Framework migration</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Locate imports and callers of deprecated APIs</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External API resolution may require additional modeling.</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Test selection</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Link statically known test callers to changed symbols</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Dynamic fixtures and reflection mean it cannot prove coverage.</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Documentation drift</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Find broken relative links or missing referenced symbols</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Cannot verify all natural-language claims.</w:t>
            </w:r>
          </w:p>
        </w:tc>
      </w:tr>
      <w:t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Architecture policies</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Flag forbidden import edges between declared layers</w:t>
            </w:r>
          </w:p>
        </w:tc>
        <w:tc>
          <w:tcPr>
            <w:tcW w:type="dxa" w:w="46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20"/>
              </w:rPr>
              <w:t>Requires explicit layer rules and documented exceptions.</w:t>
            </w:r>
          </w:p>
        </w:tc>
      </w:tr>
    </w:tbl>
    <w:p/>
    <w:p>
      <w:pPr>
        <w:pStyle w:val="Heading2"/>
      </w:pPr>
      <w:r>
        <w:t>A strong demonstration for your background</w:t>
      </w:r>
    </w:p>
    <w:p>
      <w:r>
        <w:t>Use a synthetic order-processing service: controller, order service, risk validator and broker adapter. Show which known callers may be affected by changing validation, how a circular import appears, and why interface injection produces uncertainty. Synthetic code avoids needing proprietary work repositories while giving you a familiar domain.</w:t>
      </w:r>
    </w:p>
    <w:p>
      <w:pPr>
        <w:pStyle w:val="Heading2"/>
      </w:pPr>
      <w:r>
        <w:t>Features that require more than this graph</w:t>
      </w:r>
    </w:p>
    <w:p>
      <w:r>
        <w:t>Security vulnerability detection needs dedicated rules and often dataflow or taint analysis. Runtime performance diagnosis needs profiling. License compliance and supply-chain risk need dependency resolution and external data. Dead-code removal needs stronger evidence than missing incoming edges. Position CodeGraph as useful supporting evidence, not a replacement for those systems.</w:t>
      </w:r>
    </w:p>
    <w:p>
      <w:pPr>
        <w:pStyle w:val="Heading2"/>
      </w:pPr>
      <w:r>
        <w:t>How to make the project distinctive</w:t>
      </w:r>
    </w:p>
    <w:p>
      <w:r>
        <w:t>Prioritize explainable edges, visible unresolved references, reproducible snapshots and comparison between full and incremental indexing. These are stronger engineering demonstrations than adding another graph animation. A later graph-grounded assistant becomes valuable when its answers can point to verified source relationships.</w:t>
      </w:r>
    </w:p>
    <w:p>
      <w:pPr>
        <w:pStyle w:val="Heading1"/>
        <w:pageBreakBefore/>
      </w:pPr>
      <w:r>
        <w:t>Evaluation demonstration and resume evidence</w:t>
      </w:r>
    </w:p>
    <w:p>
      <w:pPr>
        <w:pStyle w:val="Heading2"/>
      </w:pPr>
      <w:r>
        <w:t>Measure correctness before speed</w:t>
      </w:r>
    </w:p>
    <w:p>
      <w:r>
        <w:t>Create manually labeled fixtures covering the supported language subset. Resolved-edge precision is correct emitted resolved edges divided by all emitted resolved edges. Recall is recovered expected edges divided by expected resolvable edges in that declared scope. Report unresolved sites separately; a resolver can appear precise merely by resolving very little.</w:t>
      </w:r>
    </w:p>
    <w:p>
      <w:r>
        <w:t>Use negative cases: duplicate names, shadowing, unknown receivers, overloads, cycles, syntax errors and stale imports. Validate reindexing and snapshot isolation. One browser smoke test should cover import, search, graph expansion and evidence viewing. Do not substitute UI screenshots for semantic tests.</w:t>
      </w:r>
    </w:p>
    <w:p>
      <w:pPr>
        <w:pStyle w:val="Heading2"/>
      </w:pPr>
      <w:r>
        <w:t>Record reproducible performance</w:t>
      </w:r>
    </w:p>
    <w:p>
      <w:r>
        <w:t>For each benchmark record repository commit, supported-file count, source bytes or LOC, machine CPU/RAM, dependency versions and cold/warm conditions. Measure discovery, parsing, resolution and persistence separately. Record worker peak memory and warm-query p50/p95 over a stated sample count. Initial node/edge budgets are design defaults; only measurements justify capacity claims.</w:t>
      </w:r>
    </w:p>
    <w:p>
      <w:pPr>
        <w:pStyle w:val="Heading2"/>
      </w:pPr>
      <w:r>
        <w:t>A five minute demo</w:t>
      </w:r>
    </w:p>
    <w:p>
      <w:pPr>
        <w:pStyle w:val="ListBullet"/>
      </w:pPr>
      <w:r>
        <w:t>Import the bundled repository and explain coverage and diagnostics.</w:t>
      </w:r>
    </w:p>
    <w:p>
      <w:pPr>
        <w:pStyle w:val="ListBullet"/>
      </w:pPr>
      <w:r>
        <w:t>Search place_order, expand calls and open one evidence span.</w:t>
      </w:r>
    </w:p>
    <w:p>
      <w:pPr>
        <w:pStyle w:val="ListBullet"/>
      </w:pPr>
      <w:r>
        <w:t>Reverse-traverse validate_order to show potential affected callers.</w:t>
      </w:r>
    </w:p>
    <w:p>
      <w:pPr>
        <w:pStyle w:val="ListBullet"/>
      </w:pPr>
      <w:r>
        <w:t>Show a cycle and an intentionally unresolved receiver call.</w:t>
      </w:r>
    </w:p>
    <w:p>
      <w:pPr>
        <w:pStyle w:val="ListBullet"/>
      </w:pPr>
      <w:r>
        <w:t>Edit or delete a symbol, reindex and demonstrate that stale edges vanish.</w:t>
      </w:r>
    </w:p>
    <w:p>
      <w:pPr>
        <w:pStyle w:val="ListBullet"/>
      </w:pPr>
      <w:r>
        <w:t>Show measured fixture results and explain one limitation honestly.</w:t>
      </w:r>
    </w:p>
    <w:p>
      <w:pPr>
        <w:pStyle w:val="Heading2"/>
      </w:pPr>
      <w:r>
        <w:t>Resume bullets after implementation</w:t>
      </w:r>
    </w:p>
    <w:p>
      <w:r>
        <w:t>Built a local-first codebase explorer using Tree-sitter, FastAPI, SQLite and React, converting supported Python and Java syntax into evidence-backed symbol, call and inheritance graphs without embeddings.</w:t>
      </w:r>
    </w:p>
    <w:p>
      <w:r>
        <w:t>Implemented bounded bidirectional graph traversal up to three hops, atomic indexing snapshots and file-hash-based extraction reuse, with fixture tests for ambiguous references, cycles and stale-edge removal.</w:t>
      </w:r>
    </w:p>
    <w:p>
      <w:r>
        <w:t>Only retain technologies and capabilities you actually deliver. Add measured figures such as supported file count, query p95 and fixture precision once recorded. Do not claim production-scale accuracy, multi-language completeness or LangGraph usage from a design document alone.</w:t>
      </w:r>
    </w:p>
    <w:p>
      <w:pPr>
        <w:pStyle w:val="Heading2"/>
      </w:pPr>
      <w:r>
        <w:t>Knowledge checkpoint</w:t>
      </w:r>
    </w:p>
    <w:p>
      <w:r>
        <w:t>Before adding an AI layer, explain these without assistance: syntax versus resolution; logical IDs versus snapshot IDs; incoming versus outgoing edges; cycles versus paths; false positives versus unresolved sites; and why an unchanged file may need reference resolution after another file changes. If you can trace one source call through every layer, you understand the project’s core.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CodeGraph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CODEGRAPH  •  ENGINEERING LEARNING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