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r>
        <w:t>Revenue grew 18% compared with the previous quarter, driven by new customers in Europe and Asia.</w:t>
      </w:r>
    </w:p>
    <w:p>
      <w:pPr>
        <w:pStyle w:val="Heading1"/>
      </w:pPr>
      <w:r>
        <w:t>Highlights</w:t>
      </w:r>
    </w:p>
    <w:p>
      <w:pPr>
        <w:pStyle w:val="ListBullet"/>
      </w:pPr>
      <w:r>
        <w:t>Two new enterprise clients</w:t>
      </w:r>
    </w:p>
    <w:p>
      <w:pPr>
        <w:pStyle w:val="ListBullet"/>
      </w:pPr>
      <w:r>
        <w:t>Support response time under 2 hours</w:t>
      </w:r>
    </w:p>
    <w:p>
      <w:pPr>
        <w:pStyle w:val="ListBullet"/>
      </w:pPr>
      <w:r>
        <w:t>Mobile app launched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