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JANTRA</w:t>
      </w:r>
    </w:p>
    <w:p>
      <w:pPr>
        <w:jc w:val="left"/>
      </w:pPr>
      <w:r>
        <w:rPr>
          <w:b/>
          <w:color w:val="5A5A5A"/>
          <w:sz w:val="26"/>
        </w:rPr>
        <w:t>Product Requirements Document v1.0 — Generative Indian Visual Intelligence</w:t>
      </w:r>
    </w:p>
    <w:p>
      <w:r>
        <w:rPr>
          <w:b/>
        </w:rPr>
        <w:t xml:space="preserve">Product thesis: </w:t>
      </w:r>
      <w:r>
        <w:t>A browser-based, open-source computational design tool that lets people create beautiful, reproducible vector compositions by manipulating visual grammar — geometry, symmetry, repetition, recursion, rhythm and controlled imperfection — directly or through natural-language intent.</w:t>
      </w:r>
    </w:p>
    <w:p>
      <w:pPr>
        <w:pStyle w:val="Quote"/>
      </w:pPr>
      <w:r>
        <w:t>Primary release goal: a small, extremely polished, portfolio-grade creative tool whose exported SVG is genuinely useful outside JANTRA.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83"/>
            <w:vAlign w:val="top"/>
          </w:tcPr>
          <w:p>
            <w:r>
              <w:t>Product type</w:t>
            </w:r>
          </w:p>
        </w:tc>
        <w:tc>
          <w:tcPr>
            <w:tcW w:type="dxa" w:w="5083"/>
            <w:vAlign w:val="top"/>
          </w:tcPr>
          <w:p>
            <w:r>
              <w:t>Creative tool + computational-design research + portfolio proof + open-source engine</w:t>
            </w:r>
          </w:p>
        </w:tc>
      </w:tr>
      <w:tr>
        <w:tc>
          <w:tcPr>
            <w:tcW w:type="dxa" w:w="5083"/>
            <w:vAlign w:val="top"/>
          </w:tcPr>
          <w:p>
            <w:r>
              <w:t>Primary user</w:t>
            </w:r>
          </w:p>
        </w:tc>
        <w:tc>
          <w:tcPr>
            <w:tcW w:type="dxa" w:w="5083"/>
            <w:vAlign w:val="top"/>
          </w:tcPr>
          <w:p>
            <w:r>
              <w:t>Designer/artist who does not need to code</w:t>
            </w:r>
          </w:p>
        </w:tc>
      </w:tr>
      <w:tr>
        <w:tc>
          <w:tcPr>
            <w:tcW w:type="dxa" w:w="5083"/>
            <w:vAlign w:val="top"/>
          </w:tcPr>
          <w:p>
            <w:r>
              <w:t>Core engine</w:t>
            </w:r>
          </w:p>
        </w:tc>
        <w:tc>
          <w:tcPr>
            <w:tcW w:type="dxa" w:w="5083"/>
            <w:vAlign w:val="top"/>
          </w:tcPr>
          <w:p>
            <w:r>
              <w:t>Deterministic procedural vector engine; AI is optional and separate</w:t>
            </w:r>
          </w:p>
        </w:tc>
      </w:tr>
      <w:tr>
        <w:tc>
          <w:tcPr>
            <w:tcW w:type="dxa" w:w="5083"/>
            <w:vAlign w:val="top"/>
          </w:tcPr>
          <w:p>
            <w:r>
              <w:t>MVP grammar</w:t>
            </w:r>
          </w:p>
        </w:tc>
        <w:tc>
          <w:tcPr>
            <w:tcW w:type="dxa" w:w="5083"/>
            <w:vAlign w:val="top"/>
          </w:tcPr>
          <w:p>
            <w:r>
              <w:t>Culturally neutral geometric/radial grammar; Indian cultural grammars follow research</w:t>
            </w:r>
          </w:p>
        </w:tc>
      </w:tr>
      <w:tr>
        <w:tc>
          <w:tcPr>
            <w:tcW w:type="dxa" w:w="5083"/>
            <w:vAlign w:val="top"/>
          </w:tcPr>
          <w:p>
            <w:r>
              <w:t>Rendering</w:t>
            </w:r>
          </w:p>
        </w:tc>
        <w:tc>
          <w:tcPr>
            <w:tcW w:type="dxa" w:w="5083"/>
            <w:vAlign w:val="top"/>
          </w:tcPr>
          <w:p>
            <w:r>
              <w:t>SVG-first</w:t>
            </w:r>
          </w:p>
        </w:tc>
      </w:tr>
      <w:tr>
        <w:tc>
          <w:tcPr>
            <w:tcW w:type="dxa" w:w="5083"/>
            <w:vAlign w:val="top"/>
          </w:tcPr>
          <w:p>
            <w:r>
              <w:t>Release strategy</w:t>
            </w:r>
          </w:p>
        </w:tc>
        <w:tc>
          <w:tcPr>
            <w:tcW w:type="dxa" w:w="5083"/>
            <w:vAlign w:val="top"/>
          </w:tcPr>
          <w:p>
            <w:r>
              <w:t>14-day portfolio release, then iterative expansion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 promise</w:t>
            </w:r>
          </w:p>
        </w:tc>
        <w:tc>
          <w:tcPr>
            <w:tcW w:type="dxa" w:w="5083"/>
            <w:vAlign w:val="top"/>
          </w:tcPr>
          <w:p>
            <w:r>
              <w:t>Editable, standards-compliant SVG suitable for Figma/Illustrator/Inkscape/web/print workflows</w:t>
            </w:r>
          </w:p>
        </w:tc>
      </w:tr>
    </w:tbl>
    <w:p>
      <w:pPr>
        <w:pStyle w:val="Heading1"/>
      </w:pPr>
      <w:r>
        <w:t>1. Product vision</w:t>
      </w:r>
    </w:p>
    <w:p>
      <w:r>
        <w:t>JANTRA asks a specific design question: can visual grammar be modeled as a computational system rather than copied as finished imagery? The product turns visual rules into a creative medium. A composition is not a flattened picture; it is a reproducible recipe with structure, parameters, seed, provenance and editable vector output.</w:t>
      </w:r>
    </w:p>
    <w:p>
      <w:pPr>
        <w:pStyle w:val="Heading2"/>
      </w:pPr>
      <w:r>
        <w:t>1.1 North-star experience</w:t>
      </w:r>
    </w:p>
    <w:p>
      <w:r>
        <w:t>A visitor opens JANTRA. A single bindu-like point appears. Geometry grows line by line into a composition. The user can regenerate it, manipulate a precise inspector, describe an intention in natural language, inspect the resulting parameters, save/share the seed and export a clean SVG that remains useful in professional design software.</w:t>
      </w:r>
    </w:p>
    <w:p>
      <w:pPr>
        <w:pStyle w:val="Heading2"/>
      </w:pPr>
      <w:r>
        <w:t>1.2 What JANTRA is not</w:t>
      </w:r>
    </w:p>
    <w:p>
      <w:pPr>
        <w:pStyle w:val="ListBullet"/>
      </w:pPr>
      <w:r>
        <w:t>Not a text-to-image wrapper.</w:t>
      </w:r>
    </w:p>
    <w:p>
      <w:pPr>
        <w:pStyle w:val="ListBullet"/>
      </w:pPr>
      <w:r>
        <w:t>Not an authenticity simulator that labels invented patterns as traditional sacred art.</w:t>
      </w:r>
    </w:p>
    <w:p>
      <w:pPr>
        <w:pStyle w:val="ListBullet"/>
      </w:pPr>
      <w:r>
        <w:t>Not a gallery of pre-rendered assets.</w:t>
      </w:r>
    </w:p>
    <w:p>
      <w:pPr>
        <w:pStyle w:val="ListBullet"/>
      </w:pPr>
      <w:r>
        <w:t>Not dependent on AI to function.</w:t>
      </w:r>
    </w:p>
    <w:p>
      <w:pPr>
        <w:pStyle w:val="ListBullet"/>
      </w:pPr>
      <w:r>
        <w:t>Not an MVP overloaded with Gond, Rangoli, temple architecture, infinite worlds, marketplace and image recognition.</w:t>
      </w:r>
    </w:p>
    <w:p>
      <w:pPr>
        <w:pStyle w:val="Heading1"/>
      </w:pPr>
      <w:r>
        <w:t>2.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83"/>
            <w:vAlign w:val="top"/>
          </w:tcPr>
          <w:p>
            <w:r>
              <w:t>Rules, not imitation</w:t>
            </w:r>
          </w:p>
        </w:tc>
        <w:tc>
          <w:tcPr>
            <w:tcW w:type="dxa" w:w="5083"/>
            <w:vAlign w:val="top"/>
          </w:tcPr>
          <w:p>
            <w:r>
              <w:t>Model compositional primitives and transformations rather than copying completed cultural artworks.</w:t>
            </w:r>
          </w:p>
        </w:tc>
      </w:tr>
      <w:tr>
        <w:tc>
          <w:tcPr>
            <w:tcW w:type="dxa" w:w="5083"/>
            <w:vAlign w:val="top"/>
          </w:tcPr>
          <w:p>
            <w:r>
              <w:t>Deterministic core</w:t>
            </w:r>
          </w:p>
        </w:tc>
        <w:tc>
          <w:tcPr>
            <w:tcW w:type="dxa" w:w="5083"/>
            <w:vAlign w:val="top"/>
          </w:tcPr>
          <w:p>
            <w:r>
              <w:t>The same engine version + grammar + seed + parameter recipe must reproduce the same composition.</w:t>
            </w:r>
          </w:p>
        </w:tc>
      </w:tr>
      <w:tr>
        <w:tc>
          <w:tcPr>
            <w:tcW w:type="dxa" w:w="5083"/>
            <w:vAlign w:val="top"/>
          </w:tcPr>
          <w:p>
            <w:r>
              <w:t>Human control</w:t>
            </w:r>
          </w:p>
        </w:tc>
        <w:tc>
          <w:tcPr>
            <w:tcW w:type="dxa" w:w="5083"/>
            <w:vAlign w:val="top"/>
          </w:tcPr>
          <w:p>
            <w:r>
              <w:t>AI interprets intent; the procedural engine constructs; the user can inspect and override.</w:t>
            </w:r>
          </w:p>
        </w:tc>
      </w:tr>
      <w:tr>
        <w:tc>
          <w:tcPr>
            <w:tcW w:type="dxa" w:w="5083"/>
            <w:vAlign w:val="top"/>
          </w:tcPr>
          <w:p>
            <w:r>
              <w:t>Useful output</w:t>
            </w:r>
          </w:p>
        </w:tc>
        <w:tc>
          <w:tcPr>
            <w:tcW w:type="dxa" w:w="5083"/>
            <w:vAlign w:val="top"/>
          </w:tcPr>
          <w:p>
            <w:r>
              <w:t>The exported artifact must survive outside the product as a clean, editable vector.</w:t>
            </w:r>
          </w:p>
        </w:tc>
      </w:tr>
      <w:tr>
        <w:tc>
          <w:tcPr>
            <w:tcW w:type="dxa" w:w="5083"/>
            <w:vAlign w:val="top"/>
          </w:tcPr>
          <w:p>
            <w:r>
              <w:t>Cultural honesty</w:t>
            </w:r>
          </w:p>
        </w:tc>
        <w:tc>
          <w:tcPr>
            <w:tcW w:type="dxa" w:w="5083"/>
            <w:vAlign w:val="top"/>
          </w:tcPr>
          <w:p>
            <w:r>
              <w:t>Separate computational geometry, tradition-inspired grammar and documented traditional grammar.</w:t>
            </w:r>
          </w:p>
        </w:tc>
      </w:tr>
      <w:tr>
        <w:tc>
          <w:tcPr>
            <w:tcW w:type="dxa" w:w="5083"/>
            <w:vAlign w:val="top"/>
          </w:tcPr>
          <w:p>
            <w:r>
              <w:t>Progressive depth</w:t>
            </w:r>
          </w:p>
        </w:tc>
        <w:tc>
          <w:tcPr>
            <w:tcW w:type="dxa" w:w="5083"/>
            <w:vAlign w:val="top"/>
          </w:tcPr>
          <w:p>
            <w:r>
              <w:t>A first-time user can create immediately; experts can inspect parameters and recipes.</w:t>
            </w:r>
          </w:p>
        </w:tc>
      </w:tr>
      <w:tr>
        <w:tc>
          <w:tcPr>
            <w:tcW w:type="dxa" w:w="5083"/>
            <w:vAlign w:val="top"/>
          </w:tcPr>
          <w:p>
            <w:r>
              <w:t>Visible craft</w:t>
            </w:r>
          </w:p>
        </w:tc>
        <w:tc>
          <w:tcPr>
            <w:tcW w:type="dxa" w:w="5083"/>
            <w:vAlign w:val="top"/>
          </w:tcPr>
          <w:p>
            <w:r>
              <w:t>Growth, transitions, typography, interaction states and exports must be portfolio-grade.</w:t>
            </w:r>
          </w:p>
        </w:tc>
      </w:tr>
      <w:tr>
        <w:tc>
          <w:tcPr>
            <w:tcW w:type="dxa" w:w="5083"/>
            <w:vAlign w:val="top"/>
          </w:tcPr>
          <w:p>
            <w:r>
              <w:t>Open system</w:t>
            </w:r>
          </w:p>
        </w:tc>
        <w:tc>
          <w:tcPr>
            <w:tcW w:type="dxa" w:w="5083"/>
            <w:vAlign w:val="top"/>
          </w:tcPr>
          <w:p>
            <w:r>
              <w:t>Core grammar definitions and rendering logic are documented and open-source.</w:t>
            </w:r>
          </w:p>
        </w:tc>
      </w:tr>
    </w:tbl>
    <w:p>
      <w:pPr>
        <w:pStyle w:val="Heading1"/>
      </w:pPr>
      <w:r>
        <w:t>3. Goals and success criteria</w:t>
      </w:r>
    </w:p>
    <w:p>
      <w:pPr>
        <w:pStyle w:val="Heading2"/>
      </w:pPr>
      <w:r>
        <w:t>3.1 MVP goals</w:t>
      </w:r>
    </w:p>
    <w:p>
      <w:pPr>
        <w:pStyle w:val="ListBullet"/>
      </w:pPr>
      <w:r>
        <w:t>Generate visually strong radial/geometric vector compositions from deterministic seeds.</w:t>
      </w:r>
    </w:p>
    <w:p>
      <w:pPr>
        <w:pStyle w:val="ListBullet"/>
      </w:pPr>
      <w:r>
        <w:t>Allow direct manipulation through an inspector without requiring code.</w:t>
      </w:r>
    </w:p>
    <w:p>
      <w:pPr>
        <w:pStyle w:val="ListBullet"/>
      </w:pPr>
      <w:r>
        <w:t>Translate natural-language intent into a validated parameter object.</w:t>
      </w:r>
    </w:p>
    <w:p>
      <w:pPr>
        <w:pStyle w:val="ListBullet"/>
      </w:pPr>
      <w:r>
        <w:t>Animate construction so the user sees the system draw the work.</w:t>
      </w:r>
    </w:p>
    <w:p>
      <w:pPr>
        <w:pStyle w:val="ListBullet"/>
      </w:pPr>
      <w:r>
        <w:t>Export clean SVG and a portable JSON recipe.</w:t>
      </w:r>
    </w:p>
    <w:p>
      <w:pPr>
        <w:pStyle w:val="ListBullet"/>
      </w:pPr>
      <w:r>
        <w:t>Share a reproducible composition through a URL containing or resolving to its recipe/seed.</w:t>
      </w:r>
    </w:p>
    <w:p>
      <w:pPr>
        <w:pStyle w:val="ListBullet"/>
      </w:pPr>
      <w:r>
        <w:t>Document enough architecture, decisions and failed explorations to form a strong product-design case study.</w:t>
      </w:r>
    </w:p>
    <w:p>
      <w:pPr>
        <w:pStyle w:val="Heading2"/>
      </w:pPr>
      <w:r>
        <w:t>3.2 Quantitative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MVP target</w:t>
            </w:r>
          </w:p>
        </w:tc>
      </w:tr>
      <w:tr>
        <w:tc>
          <w:tcPr>
            <w:tcW w:type="dxa" w:w="5083"/>
            <w:vAlign w:val="top"/>
          </w:tcPr>
          <w:p>
            <w:r>
              <w:t>Time to first artwork</w:t>
            </w:r>
          </w:p>
        </w:tc>
        <w:tc>
          <w:tcPr>
            <w:tcW w:type="dxa" w:w="5083"/>
            <w:vAlign w:val="top"/>
          </w:tcPr>
          <w:p>
            <w:r>
              <w:t>&lt; 5 seconds on a typical modern laptop after app load</w:t>
            </w:r>
          </w:p>
        </w:tc>
      </w:tr>
      <w:tr>
        <w:tc>
          <w:tcPr>
            <w:tcW w:type="dxa" w:w="5083"/>
            <w:vAlign w:val="top"/>
          </w:tcPr>
          <w:p>
            <w:r>
              <w:t>First meaningful edit</w:t>
            </w:r>
          </w:p>
        </w:tc>
        <w:tc>
          <w:tcPr>
            <w:tcW w:type="dxa" w:w="5083"/>
            <w:vAlign w:val="top"/>
          </w:tcPr>
          <w:p>
            <w:r>
              <w:t>&lt; 60 seconds without tutorial</w:t>
            </w:r>
          </w:p>
        </w:tc>
      </w:tr>
      <w:tr>
        <w:tc>
          <w:tcPr>
            <w:tcW w:type="dxa" w:w="5083"/>
            <w:vAlign w:val="top"/>
          </w:tcPr>
          <w:p>
            <w:r>
              <w:t>Seed reproducibility</w:t>
            </w:r>
          </w:p>
        </w:tc>
        <w:tc>
          <w:tcPr>
            <w:tcW w:type="dxa" w:w="5083"/>
            <w:vAlign w:val="top"/>
          </w:tcPr>
          <w:p>
            <w:r>
              <w:t>100% for same engine/grammar version</w:t>
            </w:r>
          </w:p>
        </w:tc>
      </w:tr>
      <w:tr>
        <w:tc>
          <w:tcPr>
            <w:tcW w:type="dxa" w:w="5083"/>
            <w:vAlign w:val="top"/>
          </w:tcPr>
          <w:p>
            <w:r>
              <w:t>SVG export success</w:t>
            </w:r>
          </w:p>
        </w:tc>
        <w:tc>
          <w:tcPr>
            <w:tcW w:type="dxa" w:w="5083"/>
            <w:vAlign w:val="top"/>
          </w:tcPr>
          <w:p>
            <w:r>
              <w:t>100% of supported compositions</w:t>
            </w:r>
          </w:p>
        </w:tc>
      </w:tr>
      <w:tr>
        <w:tc>
          <w:tcPr>
            <w:tcW w:type="dxa" w:w="5083"/>
            <w:vAlign w:val="top"/>
          </w:tcPr>
          <w:p>
            <w:r>
              <w:t>SVG editability</w:t>
            </w:r>
          </w:p>
        </w:tc>
        <w:tc>
          <w:tcPr>
            <w:tcW w:type="dxa" w:w="5083"/>
            <w:vAlign w:val="top"/>
          </w:tcPr>
          <w:p>
            <w:r>
              <w:t>Opens as vectors in Figma, Illustrator and Inkscape test workflow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 visual fidelity</w:t>
            </w:r>
          </w:p>
        </w:tc>
        <w:tc>
          <w:tcPr>
            <w:tcW w:type="dxa" w:w="5083"/>
            <w:vAlign w:val="top"/>
          </w:tcPr>
          <w:p>
            <w:r>
              <w:t>No visually material difference from canvas at default export</w:t>
            </w:r>
          </w:p>
        </w:tc>
      </w:tr>
      <w:tr>
        <w:tc>
          <w:tcPr>
            <w:tcW w:type="dxa" w:w="5083"/>
            <w:vAlign w:val="top"/>
          </w:tcPr>
          <w:p>
            <w:r>
              <w:t>Core interaction</w:t>
            </w:r>
          </w:p>
        </w:tc>
        <w:tc>
          <w:tcPr>
            <w:tcW w:type="dxa" w:w="5083"/>
            <w:vAlign w:val="top"/>
          </w:tcPr>
          <w:p>
            <w:r>
              <w:t>60 fps target during ordinary parameter manipulation where feasible</w:t>
            </w:r>
          </w:p>
        </w:tc>
      </w:tr>
      <w:tr>
        <w:tc>
          <w:tcPr>
            <w:tcW w:type="dxa" w:w="5083"/>
            <w:vAlign w:val="top"/>
          </w:tcPr>
          <w:p>
            <w:r>
              <w:t>AI dependency</w:t>
            </w:r>
          </w:p>
        </w:tc>
        <w:tc>
          <w:tcPr>
            <w:tcW w:type="dxa" w:w="5083"/>
            <w:vAlign w:val="top"/>
          </w:tcPr>
          <w:p>
            <w:r>
              <w:t>0% — all manual creation/export works with AI disabled</w:t>
            </w:r>
          </w:p>
        </w:tc>
      </w:tr>
      <w:tr>
        <w:tc>
          <w:tcPr>
            <w:tcW w:type="dxa" w:w="5083"/>
            <w:vAlign w:val="top"/>
          </w:tcPr>
          <w:p>
            <w:r>
              <w:t>MVP accessibility</w:t>
            </w:r>
          </w:p>
        </w:tc>
        <w:tc>
          <w:tcPr>
            <w:tcW w:type="dxa" w:w="5083"/>
            <w:vAlign w:val="top"/>
          </w:tcPr>
          <w:p>
            <w:r>
              <w:t>Keyboard-accessible controls; visible focus; semantic labels; reduced-motion behavior</w:t>
            </w:r>
          </w:p>
        </w:tc>
      </w:tr>
    </w:tbl>
    <w:p>
      <w:pPr>
        <w:pStyle w:val="Heading1"/>
      </w:pPr>
      <w:r>
        <w:t>4. Users and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EAEA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Primary job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Need</w:t>
            </w:r>
          </w:p>
        </w:tc>
      </w:tr>
      <w:tr>
        <w:tc>
          <w:tcPr>
            <w:tcW w:type="dxa" w:w="3389"/>
            <w:vAlign w:val="top"/>
          </w:tcPr>
          <w:p>
            <w:r>
              <w:t>Creative designer / artist</w:t>
            </w:r>
          </w:p>
        </w:tc>
        <w:tc>
          <w:tcPr>
            <w:tcW w:type="dxa" w:w="3389"/>
            <w:vAlign w:val="top"/>
          </w:tcPr>
          <w:p>
            <w:r>
              <w:t>Create an original vector base quickly</w:t>
            </w:r>
          </w:p>
        </w:tc>
        <w:tc>
          <w:tcPr>
            <w:tcW w:type="dxa" w:w="3389"/>
            <w:vAlign w:val="top"/>
          </w:tcPr>
          <w:p>
            <w:r>
              <w:t>Control without programming; editable export</w:t>
            </w:r>
          </w:p>
        </w:tc>
      </w:tr>
      <w:tr>
        <w:tc>
          <w:tcPr>
            <w:tcW w:type="dxa" w:w="3389"/>
            <w:vAlign w:val="top"/>
          </w:tcPr>
          <w:p>
            <w:r>
              <w:t>Creative coder</w:t>
            </w:r>
          </w:p>
        </w:tc>
        <w:tc>
          <w:tcPr>
            <w:tcW w:type="dxa" w:w="3389"/>
            <w:vAlign w:val="top"/>
          </w:tcPr>
          <w:p>
            <w:r>
              <w:t>Explore/reuse a grammar</w:t>
            </w:r>
          </w:p>
        </w:tc>
        <w:tc>
          <w:tcPr>
            <w:tcW w:type="dxa" w:w="3389"/>
            <w:vAlign w:val="top"/>
          </w:tcPr>
          <w:p>
            <w:r>
              <w:t>Transparent recipe, seed, source and extensibility</w:t>
            </w:r>
          </w:p>
        </w:tc>
      </w:tr>
      <w:tr>
        <w:tc>
          <w:tcPr>
            <w:tcW w:type="dxa" w:w="3389"/>
            <w:vAlign w:val="top"/>
          </w:tcPr>
          <w:p>
            <w:r>
              <w:t>Student / researcher</w:t>
            </w:r>
          </w:p>
        </w:tc>
        <w:tc>
          <w:tcPr>
            <w:tcW w:type="dxa" w:w="3389"/>
            <w:vAlign w:val="top"/>
          </w:tcPr>
          <w:p>
            <w:r>
              <w:t>Understand procedural composition</w:t>
            </w:r>
          </w:p>
        </w:tc>
        <w:tc>
          <w:tcPr>
            <w:tcW w:type="dxa" w:w="3389"/>
            <w:vAlign w:val="top"/>
          </w:tcPr>
          <w:p>
            <w:r>
              <w:t>Visible rules, provenance and repeatability</w:t>
            </w:r>
          </w:p>
        </w:tc>
      </w:tr>
      <w:tr>
        <w:tc>
          <w:tcPr>
            <w:tcW w:type="dxa" w:w="3389"/>
            <w:vAlign w:val="top"/>
          </w:tcPr>
          <w:p>
            <w:r>
              <w:t>Portfolio/recruiter viewer</w:t>
            </w:r>
          </w:p>
        </w:tc>
        <w:tc>
          <w:tcPr>
            <w:tcW w:type="dxa" w:w="3389"/>
            <w:vAlign w:val="top"/>
          </w:tcPr>
          <w:p>
            <w:r>
              <w:t>Understand the maker's judgment quickly</w:t>
            </w:r>
          </w:p>
        </w:tc>
        <w:tc>
          <w:tcPr>
            <w:tcW w:type="dxa" w:w="3389"/>
            <w:vAlign w:val="top"/>
          </w:tcPr>
          <w:p>
            <w:r>
              <w:t>Clear product thesis, interaction quality and technical evidence</w:t>
            </w:r>
          </w:p>
        </w:tc>
      </w:tr>
    </w:tbl>
    <w:p>
      <w:pPr>
        <w:pStyle w:val="Heading2"/>
      </w:pPr>
      <w:r>
        <w:t>4.1 Core JTBD</w:t>
      </w:r>
    </w:p>
    <w:p>
      <w:r>
        <w:t>When I want a visually distinctive generative composition, I want to describe or manipulate its underlying structure rather than prompt for a finished image, so I can understand, control, reproduce and continue editing the result.</w:t>
      </w:r>
    </w:p>
    <w:p>
      <w:pPr>
        <w:pStyle w:val="Heading1"/>
      </w:pPr>
      <w:r>
        <w:t>5.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MVP — must ship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V1/V2 — intentionally later</w:t>
            </w:r>
          </w:p>
        </w:tc>
      </w:tr>
      <w:tr>
        <w:tc>
          <w:tcPr>
            <w:tcW w:type="dxa" w:w="5083"/>
            <w:vAlign w:val="top"/>
          </w:tcPr>
          <w:p>
            <w:r>
              <w:t>Geometric/radial grammar</w:t>
            </w:r>
          </w:p>
        </w:tc>
        <w:tc>
          <w:tcPr>
            <w:tcW w:type="dxa" w:w="5083"/>
            <w:vAlign w:val="top"/>
          </w:tcPr>
          <w:p>
            <w:r>
              <w:t>Infinite spatial world / streaming generation</w:t>
            </w:r>
          </w:p>
        </w:tc>
      </w:tr>
      <w:tr>
        <w:tc>
          <w:tcPr>
            <w:tcW w:type="dxa" w:w="5083"/>
            <w:vAlign w:val="top"/>
          </w:tcPr>
          <w:p>
            <w:r>
              <w:t>Seeded deterministic generation</w:t>
            </w:r>
          </w:p>
        </w:tc>
        <w:tc>
          <w:tcPr>
            <w:tcW w:type="dxa" w:w="5083"/>
            <w:vAlign w:val="top"/>
          </w:tcPr>
          <w:p>
            <w:r>
              <w:t>Sketch-to-grammar recognition</w:t>
            </w:r>
          </w:p>
        </w:tc>
      </w:tr>
      <w:tr>
        <w:tc>
          <w:tcPr>
            <w:tcW w:type="dxa" w:w="5083"/>
            <w:vAlign w:val="top"/>
          </w:tcPr>
          <w:p>
            <w:r>
              <w:t>Growth animation</w:t>
            </w:r>
          </w:p>
        </w:tc>
        <w:tc>
          <w:tcPr>
            <w:tcW w:type="dxa" w:w="5083"/>
            <w:vAlign w:val="top"/>
          </w:tcPr>
          <w:p>
            <w:r>
              <w:t>Node-based grammar editor</w:t>
            </w:r>
          </w:p>
        </w:tc>
      </w:tr>
      <w:tr>
        <w:tc>
          <w:tcPr>
            <w:tcW w:type="dxa" w:w="5083"/>
            <w:vAlign w:val="top"/>
          </w:tcPr>
          <w:p>
            <w:r>
              <w:t>Inspector</w:t>
            </w:r>
          </w:p>
        </w:tc>
        <w:tc>
          <w:tcPr>
            <w:tcW w:type="dxa" w:w="5083"/>
            <w:vAlign w:val="top"/>
          </w:tcPr>
          <w:p>
            <w:r>
              <w:t>Multiple researched cultural grammar packs</w:t>
            </w:r>
          </w:p>
        </w:tc>
      </w:tr>
      <w:tr>
        <w:tc>
          <w:tcPr>
            <w:tcW w:type="dxa" w:w="5083"/>
            <w:vAlign w:val="top"/>
          </w:tcPr>
          <w:p>
            <w:r>
              <w:t>Natural language → parameters</w:t>
            </w:r>
          </w:p>
        </w:tc>
        <w:tc>
          <w:tcPr>
            <w:tcW w:type="dxa" w:w="5083"/>
            <w:vAlign w:val="top"/>
          </w:tcPr>
          <w:p>
            <w:r>
              <w:t>Accounts / cloud collections</w:t>
            </w:r>
          </w:p>
        </w:tc>
      </w:tr>
      <w:tr>
        <w:tc>
          <w:tcPr>
            <w:tcW w:type="dxa" w:w="5083"/>
            <w:vAlign w:val="top"/>
          </w:tcPr>
          <w:p>
            <w:r>
              <w:t>SVG + JSON recipe export</w:t>
            </w:r>
          </w:p>
        </w:tc>
        <w:tc>
          <w:tcPr>
            <w:tcW w:type="dxa" w:w="5083"/>
            <w:vAlign w:val="top"/>
          </w:tcPr>
          <w:p>
            <w:r>
              <w:t>Community gallery / remix lineage</w:t>
            </w:r>
          </w:p>
        </w:tc>
      </w:tr>
      <w:tr>
        <w:tc>
          <w:tcPr>
            <w:tcW w:type="dxa" w:w="5083"/>
            <w:vAlign w:val="top"/>
          </w:tcPr>
          <w:p>
            <w:r>
              <w:t>PNG convenience export</w:t>
            </w:r>
          </w:p>
        </w:tc>
        <w:tc>
          <w:tcPr>
            <w:tcW w:type="dxa" w:w="5083"/>
            <w:vAlign w:val="top"/>
          </w:tcPr>
          <w:p>
            <w:r>
              <w:t>Plotter mode / manufacturing presets</w:t>
            </w:r>
          </w:p>
        </w:tc>
      </w:tr>
      <w:tr>
        <w:tc>
          <w:tcPr>
            <w:tcW w:type="dxa" w:w="5083"/>
            <w:vAlign w:val="top"/>
          </w:tcPr>
          <w:p>
            <w:r>
              <w:t>Shareable URL</w:t>
            </w:r>
          </w:p>
        </w:tc>
        <w:tc>
          <w:tcPr>
            <w:tcW w:type="dxa" w:w="5083"/>
            <w:vAlign w:val="top"/>
          </w:tcPr>
          <w:p>
            <w:r>
              <w:t>Video export</w:t>
            </w:r>
          </w:p>
        </w:tc>
      </w:tr>
      <w:tr>
        <w:tc>
          <w:tcPr>
            <w:tcW w:type="dxa" w:w="5083"/>
            <w:vAlign w:val="top"/>
          </w:tcPr>
          <w:p>
            <w:r>
              <w:t>History/undo-redo</w:t>
            </w:r>
          </w:p>
        </w:tc>
        <w:tc>
          <w:tcPr>
            <w:tcW w:type="dxa" w:w="5083"/>
            <w:vAlign w:val="top"/>
          </w:tcPr>
          <w:p>
            <w:r>
              <w:t>Marketplace</w:t>
            </w:r>
          </w:p>
        </w:tc>
      </w:tr>
      <w:tr>
        <w:tc>
          <w:tcPr>
            <w:tcW w:type="dxa" w:w="5083"/>
            <w:vAlign w:val="top"/>
          </w:tcPr>
          <w:p>
            <w:r>
              <w:t>Responsive desktop-first UI</w:t>
            </w:r>
          </w:p>
        </w:tc>
        <w:tc>
          <w:tcPr>
            <w:tcW w:type="dxa" w:w="5083"/>
            <w:vAlign w:val="top"/>
          </w:tcPr>
          <w:p>
            <w:r>
              <w:t>Collaborative editing</w:t>
            </w:r>
          </w:p>
        </w:tc>
      </w:tr>
    </w:tbl>
    <w:p>
      <w:pPr>
        <w:pStyle w:val="Heading1"/>
      </w:pPr>
      <w:r>
        <w:t>6. Information architecture</w:t>
      </w:r>
    </w:p>
    <w:p>
      <w:pPr>
        <w:pStyle w:val="ListBullet"/>
      </w:pPr>
      <w:r>
        <w:t>Landing / Canvas — artwork-first creation surface.</w:t>
      </w:r>
    </w:p>
    <w:p>
      <w:pPr>
        <w:pStyle w:val="ListBullet"/>
      </w:pPr>
      <w:r>
        <w:t>Inspector — structure, symmetry, recursion, density, precision/prana, motif and animation controls.</w:t>
      </w:r>
    </w:p>
    <w:p>
      <w:pPr>
        <w:pStyle w:val="ListBullet"/>
      </w:pPr>
      <w:r>
        <w:t>Intent bar — natural-language request, interpretation preview and apply action.</w:t>
      </w:r>
    </w:p>
    <w:p>
      <w:pPr>
        <w:pStyle w:val="ListBullet"/>
      </w:pPr>
      <w:r>
        <w:t>History — local session versions and undo/redo.</w:t>
      </w:r>
    </w:p>
    <w:p>
      <w:pPr>
        <w:pStyle w:val="ListBullet"/>
      </w:pPr>
      <w:r>
        <w:t>Export — SVG, PNG and JSON recipe; export diagnostics.</w:t>
      </w:r>
    </w:p>
    <w:p>
      <w:pPr>
        <w:pStyle w:val="ListBullet"/>
      </w:pPr>
      <w:r>
        <w:t>About / Method — product thesis, cultural classification and open-source link.</w:t>
      </w:r>
    </w:p>
    <w:p>
      <w:pPr>
        <w:pStyle w:val="ListBullet"/>
      </w:pPr>
      <w:r>
        <w:t>Grammar docs — primitive/rule definitions and engine/version metadata.</w:t>
      </w:r>
    </w:p>
    <w:p>
      <w:pPr>
        <w:pStyle w:val="Heading1"/>
      </w:pPr>
      <w:r>
        <w:t>7. Primary user flows</w:t>
      </w:r>
    </w:p>
    <w:p>
      <w:pPr>
        <w:pStyle w:val="Heading2"/>
      </w:pPr>
      <w:r>
        <w:t>7.1 First visit → useful SVG</w:t>
      </w:r>
    </w:p>
    <w:p>
      <w:pPr>
        <w:pStyle w:val="ListNumber"/>
      </w:pPr>
      <w:r>
        <w:t>Load app; a curated seed begins growing automatically.</w:t>
      </w:r>
    </w:p>
    <w:p>
      <w:pPr>
        <w:pStyle w:val="ListNumber"/>
      </w:pPr>
      <w:r>
        <w:t>User sees a complete artwork plus compact inspector.</w:t>
      </w:r>
    </w:p>
    <w:p>
      <w:pPr>
        <w:pStyle w:val="ListNumber"/>
      </w:pPr>
      <w:r>
        <w:t>User changes one obvious control such as symmetry or density.</w:t>
      </w:r>
    </w:p>
    <w:p>
      <w:pPr>
        <w:pStyle w:val="ListNumber"/>
      </w:pPr>
      <w:r>
        <w:t>Engine updates deterministically while preserving seed unless regeneration is requested.</w:t>
      </w:r>
    </w:p>
    <w:p>
      <w:pPr>
        <w:pStyle w:val="ListNumber"/>
      </w:pPr>
      <w:r>
        <w:t>User selects Export → SVG.</w:t>
      </w:r>
    </w:p>
    <w:p>
      <w:pPr>
        <w:pStyle w:val="ListNumber"/>
      </w:pPr>
      <w:r>
        <w:t>Export preflight validates dimensions, unsupported effects, clipping and metadata.</w:t>
      </w:r>
    </w:p>
    <w:p>
      <w:pPr>
        <w:pStyle w:val="ListNumber"/>
      </w:pPr>
      <w:r>
        <w:t>User downloads a clean SVG and can continue editing it in an external vector tool.</w:t>
      </w:r>
    </w:p>
    <w:p>
      <w:pPr>
        <w:pStyle w:val="Heading2"/>
      </w:pPr>
      <w:r>
        <w:t>7.2 Intent → inspect → generate</w:t>
      </w:r>
    </w:p>
    <w:p>
      <w:pPr>
        <w:pStyle w:val="ListNumber"/>
      </w:pPr>
      <w:r>
        <w:t>User enters: “Quiet, sparse, eight-fold symmetry, slight human irregularity.”</w:t>
      </w:r>
    </w:p>
    <w:p>
      <w:pPr>
        <w:pStyle w:val="ListNumber"/>
      </w:pPr>
      <w:r>
        <w:t>AI adapter converts language to a strict parameter schema; it does not draw.</w:t>
      </w:r>
    </w:p>
    <w:p>
      <w:pPr>
        <w:pStyle w:val="ListNumber"/>
      </w:pPr>
      <w:r>
        <w:t>JANTRA shows an optional interpretation summary: symmetry 8, density .25, prana .08, etc.</w:t>
      </w:r>
    </w:p>
    <w:p>
      <w:pPr>
        <w:pStyle w:val="ListNumber"/>
      </w:pPr>
      <w:r>
        <w:t>User applies or edits the interpretation.</w:t>
      </w:r>
    </w:p>
    <w:p>
      <w:pPr>
        <w:pStyle w:val="ListNumber"/>
      </w:pPr>
      <w:r>
        <w:t>Deterministic engine renders/grows the composition.</w:t>
      </w:r>
    </w:p>
    <w:p>
      <w:pPr>
        <w:pStyle w:val="ListNumber"/>
      </w:pPr>
      <w:r>
        <w:t>Recipe records whether AI interpretation was used, but the artifact remains reproducible without the model.</w:t>
      </w:r>
    </w:p>
    <w:p>
      <w:pPr>
        <w:pStyle w:val="Heading2"/>
      </w:pPr>
      <w:r>
        <w:t>7.3 Seed → remix</w:t>
      </w:r>
    </w:p>
    <w:p>
      <w:pPr>
        <w:pStyle w:val="ListNumber"/>
      </w:pPr>
      <w:r>
        <w:t>User opens a shared seed/recipe URL.</w:t>
      </w:r>
    </w:p>
    <w:p>
      <w:pPr>
        <w:pStyle w:val="ListNumber"/>
      </w:pPr>
      <w:r>
        <w:t>JANTRA verifies engine and grammar version.</w:t>
      </w:r>
    </w:p>
    <w:p>
      <w:pPr>
        <w:pStyle w:val="ListNumber"/>
      </w:pPr>
      <w:r>
        <w:t>Composition reconstructs exactly when the compatible engine is available.</w:t>
      </w:r>
    </w:p>
    <w:p>
      <w:pPr>
        <w:pStyle w:val="ListNumber"/>
      </w:pPr>
      <w:r>
        <w:t>User chooses Remix; a new branch retains parent provenance.</w:t>
      </w:r>
    </w:p>
    <w:p>
      <w:pPr>
        <w:pStyle w:val="ListNumber"/>
      </w:pPr>
      <w:r>
        <w:t>Changes create a new recipe/URL without modifying the source composition.</w:t>
      </w:r>
    </w:p>
    <w:p>
      <w:pPr>
        <w:pStyle w:val="Heading1"/>
      </w:pPr>
      <w:r>
        <w:t>8.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EAEA"/>
          </w:tcPr>
          <w:p>
            <w:r>
              <w:rPr>
                <w:b/>
              </w:rPr>
              <w:t>ID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89"/>
            <w:vAlign w:val="top"/>
          </w:tcPr>
          <w:p>
            <w:r>
              <w:t>FR-01 Seed generation</w:t>
            </w:r>
          </w:p>
        </w:tc>
        <w:tc>
          <w:tcPr>
            <w:tcW w:type="dxa" w:w="3389"/>
            <w:vAlign w:val="top"/>
          </w:tcPr>
          <w:p>
            <w:r>
              <w:t>Generate numeric/string seeds; seeded PRNG must be isolated from non-deterministic runtime values.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FR-02 Grammar engine</w:t>
            </w:r>
          </w:p>
        </w:tc>
        <w:tc>
          <w:tcPr>
            <w:tcW w:type="dxa" w:w="3389"/>
            <w:vAlign w:val="top"/>
          </w:tcPr>
          <w:p>
            <w:r>
              <w:t>Build composition from primitives + transformations + constraints.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FR-03 Inspector</w:t>
            </w:r>
          </w:p>
        </w:tc>
        <w:tc>
          <w:tcPr>
            <w:tcW w:type="dxa" w:w="3389"/>
            <w:vAlign w:val="top"/>
          </w:tcPr>
          <w:p>
            <w:r>
              <w:t>Live edit supported parameters with keyboard-accessible controls.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FR-04 Growth animation</w:t>
            </w:r>
          </w:p>
        </w:tc>
        <w:tc>
          <w:tcPr>
            <w:tcW w:type="dxa" w:w="3389"/>
            <w:vAlign w:val="top"/>
          </w:tcPr>
          <w:p>
            <w:r>
              <w:t>Reveal construction sequence; pause, replay, skip.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FR-05 Natural language</w:t>
            </w:r>
          </w:p>
        </w:tc>
        <w:tc>
          <w:tcPr>
            <w:tcW w:type="dxa" w:w="3389"/>
            <w:vAlign w:val="top"/>
          </w:tcPr>
          <w:p>
            <w:r>
              <w:t>Map intent to validated parameter schema; graceful manual fallback.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FR-06 Interpretation</w:t>
            </w:r>
          </w:p>
        </w:tc>
        <w:tc>
          <w:tcPr>
            <w:tcW w:type="dxa" w:w="3389"/>
            <w:vAlign w:val="top"/>
          </w:tcPr>
          <w:p>
            <w:r>
              <w:t>Optional readable mapping from phrases to parameter changes.</w:t>
            </w:r>
          </w:p>
        </w:tc>
        <w:tc>
          <w:tcPr>
            <w:tcW w:type="dxa" w:w="3389"/>
            <w:vAlign w:val="top"/>
          </w:tcPr>
          <w:p>
            <w:r>
              <w:t>P1</w:t>
            </w:r>
          </w:p>
        </w:tc>
      </w:tr>
      <w:tr>
        <w:tc>
          <w:tcPr>
            <w:tcW w:type="dxa" w:w="3389"/>
            <w:vAlign w:val="top"/>
          </w:tcPr>
          <w:p>
            <w:r>
              <w:t>FR-07 Undo/redo</w:t>
            </w:r>
          </w:p>
        </w:tc>
        <w:tc>
          <w:tcPr>
            <w:tcW w:type="dxa" w:w="3389"/>
            <w:vAlign w:val="top"/>
          </w:tcPr>
          <w:p>
            <w:r>
              <w:t>Session history for parameter and seed changes.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FR-08 Share</w:t>
            </w:r>
          </w:p>
        </w:tc>
        <w:tc>
          <w:tcPr>
            <w:tcW w:type="dxa" w:w="3389"/>
            <w:vAlign w:val="top"/>
          </w:tcPr>
          <w:p>
            <w:r>
              <w:t>Encode compact recipe or persistent recipe ID in URL.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FR-09 SVG export</w:t>
            </w:r>
          </w:p>
        </w:tc>
        <w:tc>
          <w:tcPr>
            <w:tcW w:type="dxa" w:w="3389"/>
            <w:vAlign w:val="top"/>
          </w:tcPr>
          <w:p>
            <w:r>
              <w:t>Export clean, editable, standalone SVG.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FR-10 JSON recipe</w:t>
            </w:r>
          </w:p>
        </w:tc>
        <w:tc>
          <w:tcPr>
            <w:tcW w:type="dxa" w:w="3389"/>
            <w:vAlign w:val="top"/>
          </w:tcPr>
          <w:p>
            <w:r>
              <w:t>Export/import recipe including version, seed, grammar and parameters.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FR-11 PNG export</w:t>
            </w:r>
          </w:p>
        </w:tc>
        <w:tc>
          <w:tcPr>
            <w:tcW w:type="dxa" w:w="3389"/>
            <w:vAlign w:val="top"/>
          </w:tcPr>
          <w:p>
            <w:r>
              <w:t>Raster convenience export at user-selected scale.</w:t>
            </w:r>
          </w:p>
        </w:tc>
        <w:tc>
          <w:tcPr>
            <w:tcW w:type="dxa" w:w="3389"/>
            <w:vAlign w:val="top"/>
          </w:tcPr>
          <w:p>
            <w:r>
              <w:t>P1</w:t>
            </w:r>
          </w:p>
        </w:tc>
      </w:tr>
      <w:tr>
        <w:tc>
          <w:tcPr>
            <w:tcW w:type="dxa" w:w="3389"/>
            <w:vAlign w:val="top"/>
          </w:tcPr>
          <w:p>
            <w:r>
              <w:t>FR-12 Provenance</w:t>
            </w:r>
          </w:p>
        </w:tc>
        <w:tc>
          <w:tcPr>
            <w:tcW w:type="dxa" w:w="3389"/>
            <w:vAlign w:val="top"/>
          </w:tcPr>
          <w:p>
            <w:r>
              <w:t>Embed JANTRA metadata without polluting visible artwork.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FR-13 Reduced motion</w:t>
            </w:r>
          </w:p>
        </w:tc>
        <w:tc>
          <w:tcPr>
            <w:tcW w:type="dxa" w:w="3389"/>
            <w:vAlign w:val="top"/>
          </w:tcPr>
          <w:p>
            <w:r>
              <w:t>Respect prefers-reduced-motion and provide skip-animation control.</w:t>
            </w:r>
          </w:p>
        </w:tc>
        <w:tc>
          <w:tcPr>
            <w:tcW w:type="dxa" w:w="3389"/>
            <w:vAlign w:val="top"/>
          </w:tcPr>
          <w:p>
            <w:r>
              <w:t>P0</w:t>
            </w:r>
          </w:p>
        </w:tc>
      </w:tr>
      <w:tr>
        <w:tc>
          <w:tcPr>
            <w:tcW w:type="dxa" w:w="3389"/>
            <w:vAlign w:val="top"/>
          </w:tcPr>
          <w:p>
            <w:r>
              <w:t>FR-14 Offline core</w:t>
            </w:r>
          </w:p>
        </w:tc>
        <w:tc>
          <w:tcPr>
            <w:tcW w:type="dxa" w:w="3389"/>
            <w:vAlign w:val="top"/>
          </w:tcPr>
          <w:p>
            <w:r>
              <w:t>Manual engine and SVG export continue without AI/network after app assets load, where deployment permits.</w:t>
            </w:r>
          </w:p>
        </w:tc>
        <w:tc>
          <w:tcPr>
            <w:tcW w:type="dxa" w:w="3389"/>
            <w:vAlign w:val="top"/>
          </w:tcPr>
          <w:p>
            <w:r>
              <w:t>P1</w:t>
            </w:r>
          </w:p>
        </w:tc>
      </w:tr>
    </w:tbl>
    <w:p>
      <w:pPr>
        <w:pStyle w:val="Heading1"/>
      </w:pPr>
      <w:r>
        <w:t>9. Generative grammar specification</w:t>
      </w:r>
    </w:p>
    <w:p>
      <w:pPr>
        <w:pStyle w:val="Heading2"/>
      </w:pPr>
      <w:r>
        <w:t>9.1 Primitive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Primitive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>
              <w:t>Point</w:t>
            </w:r>
          </w:p>
        </w:tc>
        <w:tc>
          <w:tcPr>
            <w:tcW w:type="dxa" w:w="5083"/>
            <w:vAlign w:val="top"/>
          </w:tcPr>
          <w:p>
            <w:r>
              <w:t>Origin, anchor, attractor</w:t>
            </w:r>
          </w:p>
        </w:tc>
      </w:tr>
      <w:tr>
        <w:tc>
          <w:tcPr>
            <w:tcW w:type="dxa" w:w="5083"/>
            <w:vAlign w:val="top"/>
          </w:tcPr>
          <w:p>
            <w:r>
              <w:t>Line / polyline</w:t>
            </w:r>
          </w:p>
        </w:tc>
        <w:tc>
          <w:tcPr>
            <w:tcW w:type="dxa" w:w="5083"/>
            <w:vAlign w:val="top"/>
          </w:tcPr>
          <w:p>
            <w:r>
              <w:t>Structural connection and contour</w:t>
            </w:r>
          </w:p>
        </w:tc>
      </w:tr>
      <w:tr>
        <w:tc>
          <w:tcPr>
            <w:tcW w:type="dxa" w:w="5083"/>
            <w:vAlign w:val="top"/>
          </w:tcPr>
          <w:p>
            <w:r>
              <w:t>Circle / arc</w:t>
            </w:r>
          </w:p>
        </w:tc>
        <w:tc>
          <w:tcPr>
            <w:tcW w:type="dxa" w:w="5083"/>
            <w:vAlign w:val="top"/>
          </w:tcPr>
          <w:p>
            <w:r>
              <w:t>Radial boundary and rhythm</w:t>
            </w:r>
          </w:p>
        </w:tc>
      </w:tr>
      <w:tr>
        <w:tc>
          <w:tcPr>
            <w:tcW w:type="dxa" w:w="5083"/>
            <w:vAlign w:val="top"/>
          </w:tcPr>
          <w:p>
            <w:r>
              <w:t>Triangle / polygon</w:t>
            </w:r>
          </w:p>
        </w:tc>
        <w:tc>
          <w:tcPr>
            <w:tcW w:type="dxa" w:w="5083"/>
            <w:vAlign w:val="top"/>
          </w:tcPr>
          <w:p>
            <w:r>
              <w:t>Directional geometry and enclosure</w:t>
            </w:r>
          </w:p>
        </w:tc>
      </w:tr>
      <w:tr>
        <w:tc>
          <w:tcPr>
            <w:tcW w:type="dxa" w:w="5083"/>
            <w:vAlign w:val="top"/>
          </w:tcPr>
          <w:p>
            <w:r>
              <w:t>Petal / lobe</w:t>
            </w:r>
          </w:p>
        </w:tc>
        <w:tc>
          <w:tcPr>
            <w:tcW w:type="dxa" w:w="5083"/>
            <w:vAlign w:val="top"/>
          </w:tcPr>
          <w:p>
            <w:r>
              <w:t>Parametric radial organic form</w:t>
            </w:r>
          </w:p>
        </w:tc>
      </w:tr>
      <w:tr>
        <w:tc>
          <w:tcPr>
            <w:tcW w:type="dxa" w:w="5083"/>
            <w:vAlign w:val="top"/>
          </w:tcPr>
          <w:p>
            <w:r>
              <w:t>Ring</w:t>
            </w:r>
          </w:p>
        </w:tc>
        <w:tc>
          <w:tcPr>
            <w:tcW w:type="dxa" w:w="5083"/>
            <w:vAlign w:val="top"/>
          </w:tcPr>
          <w:p>
            <w:r>
              <w:t>Repeated radial band</w:t>
            </w:r>
          </w:p>
        </w:tc>
      </w:tr>
      <w:tr>
        <w:tc>
          <w:tcPr>
            <w:tcW w:type="dxa" w:w="5083"/>
            <w:vAlign w:val="top"/>
          </w:tcPr>
          <w:p>
            <w:r>
              <w:t>Path</w:t>
            </w:r>
          </w:p>
        </w:tc>
        <w:tc>
          <w:tcPr>
            <w:tcW w:type="dxa" w:w="5083"/>
            <w:vAlign w:val="top"/>
          </w:tcPr>
          <w:p>
            <w:r>
              <w:t>General compound vector structure</w:t>
            </w:r>
          </w:p>
        </w:tc>
      </w:tr>
      <w:tr>
        <w:tc>
          <w:tcPr>
            <w:tcW w:type="dxa" w:w="5083"/>
            <w:vAlign w:val="top"/>
          </w:tcPr>
          <w:p>
            <w:r>
              <w:t>Group</w:t>
            </w:r>
          </w:p>
        </w:tc>
        <w:tc>
          <w:tcPr>
            <w:tcW w:type="dxa" w:w="5083"/>
            <w:vAlign w:val="top"/>
          </w:tcPr>
          <w:p>
            <w:r>
              <w:t>Transformable semantic collection</w:t>
            </w:r>
          </w:p>
        </w:tc>
      </w:tr>
    </w:tbl>
    <w:p>
      <w:pPr>
        <w:pStyle w:val="Heading2"/>
      </w:pPr>
      <w:r>
        <w:t>9.2 Core transformations</w:t>
      </w:r>
    </w:p>
    <w:p>
      <w:pPr>
        <w:pStyle w:val="ListBullet"/>
      </w:pPr>
      <w:r>
        <w:t>rotate(angle)</w:t>
      </w:r>
    </w:p>
    <w:p>
      <w:pPr>
        <w:pStyle w:val="ListBullet"/>
      </w:pPr>
      <w:r>
        <w:t>mirror(axis)</w:t>
      </w:r>
    </w:p>
    <w:p>
      <w:pPr>
        <w:pStyle w:val="ListBullet"/>
      </w:pPr>
      <w:r>
        <w:t>radialRepeat(n)</w:t>
      </w:r>
    </w:p>
    <w:p>
      <w:pPr>
        <w:pStyle w:val="ListBullet"/>
      </w:pPr>
      <w:r>
        <w:t>translate(x,y)</w:t>
      </w:r>
    </w:p>
    <w:p>
      <w:pPr>
        <w:pStyle w:val="ListBullet"/>
      </w:pPr>
      <w:r>
        <w:t>scale(factor)</w:t>
      </w:r>
    </w:p>
    <w:p>
      <w:pPr>
        <w:pStyle w:val="ListBullet"/>
      </w:pPr>
      <w:r>
        <w:t>recursiveScale(depth,factor)</w:t>
      </w:r>
    </w:p>
    <w:p>
      <w:pPr>
        <w:pStyle w:val="ListBullet"/>
      </w:pPr>
      <w:r>
        <w:t>subdivide(n)</w:t>
      </w:r>
    </w:p>
    <w:p>
      <w:pPr>
        <w:pStyle w:val="ListBullet"/>
      </w:pPr>
      <w:r>
        <w:t>offset(distance)</w:t>
      </w:r>
    </w:p>
    <w:p>
      <w:pPr>
        <w:pStyle w:val="ListBullet"/>
      </w:pPr>
      <w:r>
        <w:t>perturb(amount, seededNoise)</w:t>
      </w:r>
    </w:p>
    <w:p>
      <w:pPr>
        <w:pStyle w:val="ListBullet"/>
      </w:pPr>
      <w:r>
        <w:t>clip(boundary)</w:t>
      </w:r>
    </w:p>
    <w:p>
      <w:pPr>
        <w:pStyle w:val="ListBullet"/>
      </w:pPr>
      <w:r>
        <w:t>ornament(boundary, motifRule)</w:t>
      </w:r>
    </w:p>
    <w:p>
      <w:pPr>
        <w:pStyle w:val="Heading2"/>
      </w:pPr>
      <w:r>
        <w:t>9.3 MVP parameter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EAE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Constraint</w:t>
            </w:r>
          </w:p>
        </w:tc>
      </w:tr>
      <w:tr>
        <w:tc>
          <w:tcPr>
            <w:tcW w:type="dxa" w:w="3389"/>
            <w:vAlign w:val="top"/>
          </w:tcPr>
          <w:p>
            <w:r>
              <w:t>seed</w:t>
            </w:r>
          </w:p>
        </w:tc>
        <w:tc>
          <w:tcPr>
            <w:tcW w:type="dxa" w:w="3389"/>
            <w:vAlign w:val="top"/>
          </w:tcPr>
          <w:p>
            <w:r>
              <w:t>108</w:t>
            </w:r>
          </w:p>
        </w:tc>
        <w:tc>
          <w:tcPr>
            <w:tcW w:type="dxa" w:w="3389"/>
            <w:vAlign w:val="top"/>
          </w:tcPr>
          <w:p>
            <w:r>
              <w:t>string or integer</w:t>
            </w:r>
          </w:p>
        </w:tc>
      </w:tr>
      <w:tr>
        <w:tc>
          <w:tcPr>
            <w:tcW w:type="dxa" w:w="3389"/>
            <w:vAlign w:val="top"/>
          </w:tcPr>
          <w:p>
            <w:r>
              <w:t>symmetry.mode</w:t>
            </w:r>
          </w:p>
        </w:tc>
        <w:tc>
          <w:tcPr>
            <w:tcW w:type="dxa" w:w="3389"/>
            <w:vAlign w:val="top"/>
          </w:tcPr>
          <w:p>
            <w:r>
              <w:t>radial</w:t>
            </w:r>
          </w:p>
        </w:tc>
        <w:tc>
          <w:tcPr>
            <w:tcW w:type="dxa" w:w="3389"/>
            <w:vAlign w:val="top"/>
          </w:tcPr>
          <w:p>
            <w:r>
              <w:t>radial | bilateral | grid | hybrid</w:t>
            </w:r>
          </w:p>
        </w:tc>
      </w:tr>
      <w:tr>
        <w:tc>
          <w:tcPr>
            <w:tcW w:type="dxa" w:w="3389"/>
            <w:vAlign w:val="top"/>
          </w:tcPr>
          <w:p>
            <w:r>
              <w:t>symmetry.segments</w:t>
            </w:r>
          </w:p>
        </w:tc>
        <w:tc>
          <w:tcPr>
            <w:tcW w:type="dxa" w:w="3389"/>
            <w:vAlign w:val="top"/>
          </w:tcPr>
          <w:p>
            <w:r>
              <w:t>8</w:t>
            </w:r>
          </w:p>
        </w:tc>
        <w:tc>
          <w:tcPr>
            <w:tcW w:type="dxa" w:w="3389"/>
            <w:vAlign w:val="top"/>
          </w:tcPr>
          <w:p>
            <w:r>
              <w:t>2–32</w:t>
            </w:r>
          </w:p>
        </w:tc>
      </w:tr>
      <w:tr>
        <w:tc>
          <w:tcPr>
            <w:tcW w:type="dxa" w:w="3389"/>
            <w:vAlign w:val="top"/>
          </w:tcPr>
          <w:p>
            <w:r>
              <w:t>rings</w:t>
            </w:r>
          </w:p>
        </w:tc>
        <w:tc>
          <w:tcPr>
            <w:tcW w:type="dxa" w:w="3389"/>
            <w:vAlign w:val="top"/>
          </w:tcPr>
          <w:p>
            <w:r>
              <w:t>5</w:t>
            </w:r>
          </w:p>
        </w:tc>
        <w:tc>
          <w:tcPr>
            <w:tcW w:type="dxa" w:w="3389"/>
            <w:vAlign w:val="top"/>
          </w:tcPr>
          <w:p>
            <w:r>
              <w:t>1–12</w:t>
            </w:r>
          </w:p>
        </w:tc>
      </w:tr>
      <w:tr>
        <w:tc>
          <w:tcPr>
            <w:tcW w:type="dxa" w:w="3389"/>
            <w:vAlign w:val="top"/>
          </w:tcPr>
          <w:p>
            <w:r>
              <w:t>recursion.depth</w:t>
            </w:r>
          </w:p>
        </w:tc>
        <w:tc>
          <w:tcPr>
            <w:tcW w:type="dxa" w:w="3389"/>
            <w:vAlign w:val="top"/>
          </w:tcPr>
          <w:p>
            <w:r>
              <w:t>4</w:t>
            </w:r>
          </w:p>
        </w:tc>
        <w:tc>
          <w:tcPr>
            <w:tcW w:type="dxa" w:w="3389"/>
            <w:vAlign w:val="top"/>
          </w:tcPr>
          <w:p>
            <w:r>
              <w:t>0–8</w:t>
            </w:r>
          </w:p>
        </w:tc>
      </w:tr>
      <w:tr>
        <w:tc>
          <w:tcPr>
            <w:tcW w:type="dxa" w:w="3389"/>
            <w:vAlign w:val="top"/>
          </w:tcPr>
          <w:p>
            <w:r>
              <w:t>recursion.scale</w:t>
            </w:r>
          </w:p>
        </w:tc>
        <w:tc>
          <w:tcPr>
            <w:tcW w:type="dxa" w:w="3389"/>
            <w:vAlign w:val="top"/>
          </w:tcPr>
          <w:p>
            <w:r>
              <w:t>0.72</w:t>
            </w:r>
          </w:p>
        </w:tc>
        <w:tc>
          <w:tcPr>
            <w:tcW w:type="dxa" w:w="3389"/>
            <w:vAlign w:val="top"/>
          </w:tcPr>
          <w:p>
            <w:r>
              <w:t>0.2–0.95</w:t>
            </w:r>
          </w:p>
        </w:tc>
      </w:tr>
      <w:tr>
        <w:tc>
          <w:tcPr>
            <w:tcW w:type="dxa" w:w="3389"/>
            <w:vAlign w:val="top"/>
          </w:tcPr>
          <w:p>
            <w:r>
              <w:t>density</w:t>
            </w:r>
          </w:p>
        </w:tc>
        <w:tc>
          <w:tcPr>
            <w:tcW w:type="dxa" w:w="3389"/>
            <w:vAlign w:val="top"/>
          </w:tcPr>
          <w:p>
            <w:r>
              <w:t>0.31</w:t>
            </w:r>
          </w:p>
        </w:tc>
        <w:tc>
          <w:tcPr>
            <w:tcW w:type="dxa" w:w="3389"/>
            <w:vAlign w:val="top"/>
          </w:tcPr>
          <w:p>
            <w:r>
              <w:t>0–1</w:t>
            </w:r>
          </w:p>
        </w:tc>
      </w:tr>
      <w:tr>
        <w:tc>
          <w:tcPr>
            <w:tcW w:type="dxa" w:w="3389"/>
            <w:vAlign w:val="top"/>
          </w:tcPr>
          <w:p>
            <w:r>
              <w:t>prana</w:t>
            </w:r>
          </w:p>
        </w:tc>
        <w:tc>
          <w:tcPr>
            <w:tcW w:type="dxa" w:w="3389"/>
            <w:vAlign w:val="top"/>
          </w:tcPr>
          <w:p>
            <w:r>
              <w:t>0.08</w:t>
            </w:r>
          </w:p>
        </w:tc>
        <w:tc>
          <w:tcPr>
            <w:tcW w:type="dxa" w:w="3389"/>
            <w:vAlign w:val="top"/>
          </w:tcPr>
          <w:p>
            <w:r>
              <w:t>0–0.35; seeded controlled imperfection</w:t>
            </w:r>
          </w:p>
        </w:tc>
      </w:tr>
      <w:tr>
        <w:tc>
          <w:tcPr>
            <w:tcW w:type="dxa" w:w="3389"/>
            <w:vAlign w:val="top"/>
          </w:tcPr>
          <w:p>
            <w:r>
              <w:t>line.weight</w:t>
            </w:r>
          </w:p>
        </w:tc>
        <w:tc>
          <w:tcPr>
            <w:tcW w:type="dxa" w:w="3389"/>
            <w:vAlign w:val="top"/>
          </w:tcPr>
          <w:p>
            <w:r>
              <w:t>0.7</w:t>
            </w:r>
          </w:p>
        </w:tc>
        <w:tc>
          <w:tcPr>
            <w:tcW w:type="dxa" w:w="3389"/>
            <w:vAlign w:val="top"/>
          </w:tcPr>
          <w:p>
            <w:r>
              <w:t>0.1–6 logical units</w:t>
            </w:r>
          </w:p>
        </w:tc>
      </w:tr>
      <w:tr>
        <w:tc>
          <w:tcPr>
            <w:tcW w:type="dxa" w:w="3389"/>
            <w:vAlign w:val="top"/>
          </w:tcPr>
          <w:p>
            <w:r>
              <w:t>motif.primary</w:t>
            </w:r>
          </w:p>
        </w:tc>
        <w:tc>
          <w:tcPr>
            <w:tcW w:type="dxa" w:w="3389"/>
            <w:vAlign w:val="top"/>
          </w:tcPr>
          <w:p>
            <w:r>
              <w:t>petal</w:t>
            </w:r>
          </w:p>
        </w:tc>
        <w:tc>
          <w:tcPr>
            <w:tcW w:type="dxa" w:w="3389"/>
            <w:vAlign w:val="top"/>
          </w:tcPr>
          <w:p>
            <w:r>
              <w:t>registered motif ID</w:t>
            </w:r>
          </w:p>
        </w:tc>
      </w:tr>
      <w:tr>
        <w:tc>
          <w:tcPr>
            <w:tcW w:type="dxa" w:w="3389"/>
            <w:vAlign w:val="top"/>
          </w:tcPr>
          <w:p>
            <w:r>
              <w:t>motif.secondary</w:t>
            </w:r>
          </w:p>
        </w:tc>
        <w:tc>
          <w:tcPr>
            <w:tcW w:type="dxa" w:w="3389"/>
            <w:vAlign w:val="top"/>
          </w:tcPr>
          <w:p>
            <w:r>
              <w:t>triangle</w:t>
            </w:r>
          </w:p>
        </w:tc>
        <w:tc>
          <w:tcPr>
            <w:tcW w:type="dxa" w:w="3389"/>
            <w:vAlign w:val="top"/>
          </w:tcPr>
          <w:p>
            <w:r>
              <w:t>registered motif ID or null</w:t>
            </w:r>
          </w:p>
        </w:tc>
      </w:tr>
      <w:tr>
        <w:tc>
          <w:tcPr>
            <w:tcW w:type="dxa" w:w="3389"/>
            <w:vAlign w:val="top"/>
          </w:tcPr>
          <w:p>
            <w:r>
              <w:t>animation.speed</w:t>
            </w:r>
          </w:p>
        </w:tc>
        <w:tc>
          <w:tcPr>
            <w:tcW w:type="dxa" w:w="3389"/>
            <w:vAlign w:val="top"/>
          </w:tcPr>
          <w:p>
            <w:r>
              <w:t>1.0</w:t>
            </w:r>
          </w:p>
        </w:tc>
        <w:tc>
          <w:tcPr>
            <w:tcW w:type="dxa" w:w="3389"/>
            <w:vAlign w:val="top"/>
          </w:tcPr>
          <w:p>
            <w:r>
              <w:t>0.1–4</w:t>
            </w:r>
          </w:p>
        </w:tc>
      </w:tr>
      <w:tr>
        <w:tc>
          <w:tcPr>
            <w:tcW w:type="dxa" w:w="3389"/>
            <w:vAlign w:val="top"/>
          </w:tcPr>
          <w:p>
            <w:r>
              <w:t>canvas.aspect</w:t>
            </w:r>
          </w:p>
        </w:tc>
        <w:tc>
          <w:tcPr>
            <w:tcW w:type="dxa" w:w="3389"/>
            <w:vAlign w:val="top"/>
          </w:tcPr>
          <w:p>
            <w:r>
              <w:t>1:1</w:t>
            </w:r>
          </w:p>
        </w:tc>
        <w:tc>
          <w:tcPr>
            <w:tcW w:type="dxa" w:w="3389"/>
            <w:vAlign w:val="top"/>
          </w:tcPr>
          <w:p>
            <w:r>
              <w:t>preset or custom</w:t>
            </w:r>
          </w:p>
        </w:tc>
      </w:tr>
      <w:tr>
        <w:tc>
          <w:tcPr>
            <w:tcW w:type="dxa" w:w="3389"/>
            <w:vAlign w:val="top"/>
          </w:tcPr>
          <w:p>
            <w:r>
              <w:t>margin</w:t>
            </w:r>
          </w:p>
        </w:tc>
        <w:tc>
          <w:tcPr>
            <w:tcW w:type="dxa" w:w="3389"/>
            <w:vAlign w:val="top"/>
          </w:tcPr>
          <w:p>
            <w:r>
              <w:t>0.08</w:t>
            </w:r>
          </w:p>
        </w:tc>
        <w:tc>
          <w:tcPr>
            <w:tcW w:type="dxa" w:w="3389"/>
            <w:vAlign w:val="top"/>
          </w:tcPr>
          <w:p>
            <w:r>
              <w:t>0–0.3 normalized</w:t>
            </w:r>
          </w:p>
        </w:tc>
      </w:tr>
    </w:tbl>
    <w:p>
      <w:pPr>
        <w:pStyle w:val="Heading1"/>
      </w:pPr>
      <w:r>
        <w:t>10. AI architecture</w:t>
      </w:r>
    </w:p>
    <w:p>
      <w:r>
        <w:t>AI is an adapter around the deterministic engine, not part of the renderer. The renderer must accept the same validated recipe whether it came from a human, preset, URL or model.</w:t>
      </w:r>
    </w:p>
    <w:p>
      <w:r>
        <w:t>Intent → LLM/intent parser → strict JSON candidate → schema validator → constraint normalizer → optional interpretation preview → deterministic engine → SVG DOM.</w:t>
      </w:r>
    </w:p>
    <w:p>
      <w:pPr>
        <w:pStyle w:val="Heading2"/>
      </w:pPr>
      <w:r>
        <w:t>10.1 AI rules</w:t>
      </w:r>
    </w:p>
    <w:p>
      <w:pPr>
        <w:pStyle w:val="ListBullet"/>
      </w:pPr>
      <w:r>
        <w:t>Never return raw executable code into the renderer.</w:t>
      </w:r>
    </w:p>
    <w:p>
      <w:pPr>
        <w:pStyle w:val="ListBullet"/>
      </w:pPr>
      <w:r>
        <w:t>Only emit registered parameters/motifs from the current grammar schema.</w:t>
      </w:r>
    </w:p>
    <w:p>
      <w:pPr>
        <w:pStyle w:val="ListBullet"/>
      </w:pPr>
      <w:r>
        <w:t>Unknown intent must degrade to suggestions, not fabricated controls.</w:t>
      </w:r>
    </w:p>
    <w:p>
      <w:pPr>
        <w:pStyle w:val="ListBullet"/>
      </w:pPr>
      <w:r>
        <w:t>User can see/edit the resulting parameter values.</w:t>
      </w:r>
    </w:p>
    <w:p>
      <w:pPr>
        <w:pStyle w:val="ListBullet"/>
      </w:pPr>
      <w:r>
        <w:t>Model failure must not block manual generation or export.</w:t>
      </w:r>
    </w:p>
    <w:p>
      <w:pPr>
        <w:pStyle w:val="ListBullet"/>
      </w:pPr>
      <w:r>
        <w:t>Do not claim cultural authenticity from an AI-generated interpretation.</w:t>
      </w:r>
    </w:p>
    <w:p>
      <w:pPr>
        <w:pStyle w:val="Heading1"/>
      </w:pPr>
      <w:r>
        <w:t>11. SVG export — product-critical specification</w:t>
      </w:r>
    </w:p>
    <w:p>
      <w:r>
        <w:t>The export is not a screenshot of the tool. It is a first-class design artifact. A user should be able to export from JANTRA, open the SVG in a professional vector editor, recolor/rearrange/scale it, use it in a website, print it, or continue illustrating from it.</w:t>
      </w:r>
    </w:p>
    <w:p>
      <w:pPr>
        <w:pStyle w:val="Heading2"/>
      </w:pPr>
      <w:r>
        <w:t>11.1 SVG quality requirements</w:t>
      </w:r>
    </w:p>
    <w:p>
      <w:pPr>
        <w:pStyle w:val="ListBullet"/>
      </w:pPr>
      <w:r>
        <w:t>Standards-compliant standalone SVG with explicit width, height and viewBox.</w:t>
      </w:r>
    </w:p>
    <w:p>
      <w:pPr>
        <w:pStyle w:val="ListBullet"/>
      </w:pPr>
      <w:r>
        <w:t>Geometry remains vector paths/shapes; never rasterize ordinary JANTRA artwork into the SVG.</w:t>
      </w:r>
    </w:p>
    <w:p>
      <w:pPr>
        <w:pStyle w:val="ListBullet"/>
      </w:pPr>
      <w:r>
        <w:t>Use logical groups (&lt;g&gt;) for major structural layers when this preserves editability.</w:t>
      </w:r>
    </w:p>
    <w:p>
      <w:pPr>
        <w:pStyle w:val="ListBullet"/>
      </w:pPr>
      <w:r>
        <w:t>Avoid unnecessary nested groups, invisible nodes and editor-specific garbage.</w:t>
      </w:r>
    </w:p>
    <w:p>
      <w:pPr>
        <w:pStyle w:val="ListBullet"/>
      </w:pPr>
      <w:r>
        <w:t>No external font dependency for artwork; text used as artwork must be converted to paths or omitted by default.</w:t>
      </w:r>
    </w:p>
    <w:p>
      <w:pPr>
        <w:pStyle w:val="ListBullet"/>
      </w:pPr>
      <w:r>
        <w:t>No external images, scripts, network references or unsafe foreignObject in exported artwork.</w:t>
      </w:r>
    </w:p>
    <w:p>
      <w:pPr>
        <w:pStyle w:val="ListBullet"/>
      </w:pPr>
      <w:r>
        <w:t>Stroke scaling behavior must be predictable. Export dialog provides 'scale strokes with artwork' behavior/preset.</w:t>
      </w:r>
    </w:p>
    <w:p>
      <w:pPr>
        <w:pStyle w:val="ListBullet"/>
      </w:pPr>
      <w:r>
        <w:t>Clip paths/masks allowed only when verified across target editors; prefer explicit geometry when practical.</w:t>
      </w:r>
    </w:p>
    <w:p>
      <w:pPr>
        <w:pStyle w:val="ListBullet"/>
      </w:pPr>
      <w:r>
        <w:t>All randomness is resolved before export; SVG contains final geometry, not runtime random functions.</w:t>
      </w:r>
    </w:p>
    <w:p>
      <w:pPr>
        <w:pStyle w:val="ListBullet"/>
      </w:pPr>
      <w:r>
        <w:t>Optional metadata includes seed, engine version, grammar version and recipe checksum.</w:t>
      </w:r>
    </w:p>
    <w:p>
      <w:pPr>
        <w:pStyle w:val="ListBullet"/>
      </w:pPr>
      <w:r>
        <w:t>Metadata must not expose user prompt text unless user explicitly opts in.</w:t>
      </w:r>
    </w:p>
    <w:p>
      <w:pPr>
        <w:pStyle w:val="ListBullet"/>
      </w:pPr>
      <w:r>
        <w:t>Background defaults to transparent; optional background can be included as a separate named group.</w:t>
      </w:r>
    </w:p>
    <w:p>
      <w:pPr>
        <w:pStyle w:val="ListBullet"/>
      </w:pPr>
      <w:r>
        <w:t>Color values use portable CSS/SVG representations.</w:t>
      </w:r>
    </w:p>
    <w:p>
      <w:pPr>
        <w:pStyle w:val="ListBullet"/>
      </w:pPr>
      <w:r>
        <w:t>File must remain visually correct when opened without JANTRA.</w:t>
      </w:r>
    </w:p>
    <w:p>
      <w:pPr>
        <w:pStyle w:val="Heading2"/>
      </w:pPr>
      <w:r>
        <w:t>11.2 Export presets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EAEA"/>
          </w:tcPr>
          <w:p>
            <w:r>
              <w:rPr>
                <w:b/>
              </w:rPr>
              <w:t>Preset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389"/>
            <w:vAlign w:val="top"/>
          </w:tcPr>
          <w:p>
            <w:r>
              <w:t>Editable SVG</w:t>
            </w:r>
          </w:p>
        </w:tc>
        <w:tc>
          <w:tcPr>
            <w:tcW w:type="dxa" w:w="3389"/>
            <w:vAlign w:val="top"/>
          </w:tcPr>
          <w:p>
            <w:r>
              <w:t>Figma/Illustrator/Inkscape</w:t>
            </w:r>
          </w:p>
        </w:tc>
        <w:tc>
          <w:tcPr>
            <w:tcW w:type="dxa" w:w="3389"/>
            <w:vAlign w:val="top"/>
          </w:tcPr>
          <w:p>
            <w:r>
              <w:t>Semantic groups; clean paths; transparent background</w:t>
            </w:r>
          </w:p>
        </w:tc>
      </w:tr>
      <w:tr>
        <w:tc>
          <w:tcPr>
            <w:tcW w:type="dxa" w:w="3389"/>
            <w:vAlign w:val="top"/>
          </w:tcPr>
          <w:p>
            <w:r>
              <w:t>Web SVG</w:t>
            </w:r>
          </w:p>
        </w:tc>
        <w:tc>
          <w:tcPr>
            <w:tcW w:type="dxa" w:w="3389"/>
            <w:vAlign w:val="top"/>
          </w:tcPr>
          <w:p>
            <w:r>
              <w:t>Web/product use</w:t>
            </w:r>
          </w:p>
        </w:tc>
        <w:tc>
          <w:tcPr>
            <w:tcW w:type="dxa" w:w="3389"/>
            <w:vAlign w:val="top"/>
          </w:tcPr>
          <w:p>
            <w:r>
              <w:t>Optimized/minified; safe attributes; no editor metadata</w:t>
            </w:r>
          </w:p>
        </w:tc>
      </w:tr>
      <w:tr>
        <w:tc>
          <w:tcPr>
            <w:tcW w:type="dxa" w:w="3389"/>
            <w:vAlign w:val="top"/>
          </w:tcPr>
          <w:p>
            <w:r>
              <w:t>Print SVG</w:t>
            </w:r>
          </w:p>
        </w:tc>
        <w:tc>
          <w:tcPr>
            <w:tcW w:type="dxa" w:w="3389"/>
            <w:vAlign w:val="top"/>
          </w:tcPr>
          <w:p>
            <w:r>
              <w:t>Print/plot preparation</w:t>
            </w:r>
          </w:p>
        </w:tc>
        <w:tc>
          <w:tcPr>
            <w:tcW w:type="dxa" w:w="3389"/>
            <w:vAlign w:val="top"/>
          </w:tcPr>
          <w:p>
            <w:r>
              <w:t>Physical dimensions; explicit units; simplified effects</w:t>
            </w:r>
          </w:p>
        </w:tc>
      </w:tr>
      <w:tr>
        <w:tc>
          <w:tcPr>
            <w:tcW w:type="dxa" w:w="3389"/>
            <w:vAlign w:val="top"/>
          </w:tcPr>
          <w:p>
            <w:r>
              <w:t>PNG 1x/2x/4x</w:t>
            </w:r>
          </w:p>
        </w:tc>
        <w:tc>
          <w:tcPr>
            <w:tcW w:type="dxa" w:w="3389"/>
            <w:vAlign w:val="top"/>
          </w:tcPr>
          <w:p>
            <w:r>
              <w:t>Quick sharing</w:t>
            </w:r>
          </w:p>
        </w:tc>
        <w:tc>
          <w:tcPr>
            <w:tcW w:type="dxa" w:w="3389"/>
            <w:vAlign w:val="top"/>
          </w:tcPr>
          <w:p>
            <w:r>
              <w:t>Rasterized from same vector scene</w:t>
            </w:r>
          </w:p>
        </w:tc>
      </w:tr>
      <w:tr>
        <w:tc>
          <w:tcPr>
            <w:tcW w:type="dxa" w:w="3389"/>
            <w:vAlign w:val="top"/>
          </w:tcPr>
          <w:p>
            <w:r>
              <w:t>Recipe JSON</w:t>
            </w:r>
          </w:p>
        </w:tc>
        <w:tc>
          <w:tcPr>
            <w:tcW w:type="dxa" w:w="3389"/>
            <w:vAlign w:val="top"/>
          </w:tcPr>
          <w:p>
            <w:r>
              <w:t>Reconstruction/remix</w:t>
            </w:r>
          </w:p>
        </w:tc>
        <w:tc>
          <w:tcPr>
            <w:tcW w:type="dxa" w:w="3389"/>
            <w:vAlign w:val="top"/>
          </w:tcPr>
          <w:p>
            <w:r>
              <w:t>Seed + grammar + parameters + versions + checksum</w:t>
            </w:r>
          </w:p>
        </w:tc>
      </w:tr>
    </w:tbl>
    <w:p>
      <w:pPr>
        <w:pStyle w:val="Heading2"/>
      </w:pPr>
      <w:r>
        <w:t>11.3 Export preflight</w:t>
      </w:r>
    </w:p>
    <w:p>
      <w:r>
        <w:t>Before download, JANTRA runs a preflight and reports: artboard size, node/path count, clipping/mask usage, unsupported effects, estimated file size, external dependencies (must be zero for standard export), and whether the composition can be reconstructed from the attached recipe.</w:t>
      </w:r>
    </w:p>
    <w:p>
      <w:pPr>
        <w:pStyle w:val="Heading2"/>
      </w:pPr>
      <w:r>
        <w:t>11.4 Acceptance tests for usefulness</w:t>
      </w:r>
    </w:p>
    <w:p>
      <w:pPr>
        <w:pStyle w:val="ListBullet"/>
      </w:pPr>
      <w:r>
        <w:t>Open exported Editable SVG in Figma: artwork imports as editable vectors/groups, not one raster image.</w:t>
      </w:r>
    </w:p>
    <w:p>
      <w:pPr>
        <w:pStyle w:val="ListBullet"/>
      </w:pPr>
      <w:r>
        <w:t>Open in Adobe Illustrator: scale to 400% with no pixelation and no missing artwork.</w:t>
      </w:r>
    </w:p>
    <w:p>
      <w:pPr>
        <w:pStyle w:val="ListBullet"/>
      </w:pPr>
      <w:r>
        <w:t>Open in Inkscape: edit stroke/fill on a selected structural group.</w:t>
      </w:r>
    </w:p>
    <w:p>
      <w:pPr>
        <w:pStyle w:val="ListBullet"/>
      </w:pPr>
      <w:r>
        <w:t>Embed Web SVG in a plain HTML page with no JANTRA runtime and verify rendering.</w:t>
      </w:r>
    </w:p>
    <w:p>
      <w:pPr>
        <w:pStyle w:val="ListBullet"/>
      </w:pPr>
      <w:r>
        <w:t>Print/PDF workflow test at A4 and A3 sizes with expected line weight.</w:t>
      </w:r>
    </w:p>
    <w:p>
      <w:pPr>
        <w:pStyle w:val="ListBullet"/>
      </w:pPr>
      <w:r>
        <w:t>Round-trip: export recipe JSON, clear session, import recipe and reproduce the composition.</w:t>
      </w:r>
    </w:p>
    <w:p>
      <w:pPr>
        <w:pStyle w:val="ListBullet"/>
      </w:pPr>
      <w:r>
        <w:t>Determinism test: same version + recipe produces a matching geometry checksum.</w:t>
      </w:r>
    </w:p>
    <w:p>
      <w:pPr>
        <w:pStyle w:val="ListBullet"/>
      </w:pPr>
      <w:r>
        <w:t>Security test: exported SVG contains no script, remote URL, foreignObject or hidden prompt data by default.</w:t>
      </w:r>
    </w:p>
    <w:p>
      <w:pPr>
        <w:pStyle w:val="Heading1"/>
      </w:pPr>
      <w:r>
        <w:t>12. Interaction and 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Screen/region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5083"/>
            <w:vAlign w:val="top"/>
          </w:tcPr>
          <w:p>
            <w:r>
              <w:t>Canvas</w:t>
            </w:r>
          </w:p>
        </w:tc>
        <w:tc>
          <w:tcPr>
            <w:tcW w:type="dxa" w:w="5083"/>
            <w:vAlign w:val="top"/>
          </w:tcPr>
          <w:p>
            <w:r>
              <w:t>Pan/zoom within bounded MVP artboard; center/reset; artwork selection is optional in MVP.</w:t>
            </w:r>
          </w:p>
        </w:tc>
      </w:tr>
      <w:tr>
        <w:tc>
          <w:tcPr>
            <w:tcW w:type="dxa" w:w="5083"/>
            <w:vAlign w:val="top"/>
          </w:tcPr>
          <w:p>
            <w:r>
              <w:t>Top bar</w:t>
            </w:r>
          </w:p>
        </w:tc>
        <w:tc>
          <w:tcPr>
            <w:tcW w:type="dxa" w:w="5083"/>
            <w:vAlign w:val="top"/>
          </w:tcPr>
          <w:p>
            <w:r>
              <w:t>JANTRA identity, seed, regenerate, undo/redo, share, export.</w:t>
            </w:r>
          </w:p>
        </w:tc>
      </w:tr>
      <w:tr>
        <w:tc>
          <w:tcPr>
            <w:tcW w:type="dxa" w:w="5083"/>
            <w:vAlign w:val="top"/>
          </w:tcPr>
          <w:p>
            <w:r>
              <w:t>Inspector</w:t>
            </w:r>
          </w:p>
        </w:tc>
        <w:tc>
          <w:tcPr>
            <w:tcW w:type="dxa" w:w="5083"/>
            <w:vAlign w:val="top"/>
          </w:tcPr>
          <w:p>
            <w:r>
              <w:t>Collapsible sections: Structure, Symmetry, Recursion, Density, Prana, Motifs, Line, Animation, Canvas.</w:t>
            </w:r>
          </w:p>
        </w:tc>
      </w:tr>
      <w:tr>
        <w:tc>
          <w:tcPr>
            <w:tcW w:type="dxa" w:w="5083"/>
            <w:vAlign w:val="top"/>
          </w:tcPr>
          <w:p>
            <w:r>
              <w:t>Intent bar</w:t>
            </w:r>
          </w:p>
        </w:tc>
        <w:tc>
          <w:tcPr>
            <w:tcW w:type="dxa" w:w="5083"/>
            <w:vAlign w:val="top"/>
          </w:tcPr>
          <w:p>
            <w:r>
              <w:t>Prompt field, examples, generate/interpret, status, interpretation preview.</w:t>
            </w:r>
          </w:p>
        </w:tc>
      </w:tr>
      <w:tr>
        <w:tc>
          <w:tcPr>
            <w:tcW w:type="dxa" w:w="5083"/>
            <w:vAlign w:val="top"/>
          </w:tcPr>
          <w:p>
            <w:r>
              <w:t>Seed control</w:t>
            </w:r>
          </w:p>
        </w:tc>
        <w:tc>
          <w:tcPr>
            <w:tcW w:type="dxa" w:w="5083"/>
            <w:vAlign w:val="top"/>
          </w:tcPr>
          <w:p>
            <w:r>
              <w:t>Editable seed, randomize, copy link.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 sheet</w:t>
            </w:r>
          </w:p>
        </w:tc>
        <w:tc>
          <w:tcPr>
            <w:tcW w:type="dxa" w:w="5083"/>
            <w:vAlign w:val="top"/>
          </w:tcPr>
          <w:p>
            <w:r>
              <w:t>Preset, dimensions, background, metadata/privacy, preflight, download.</w:t>
            </w:r>
          </w:p>
        </w:tc>
      </w:tr>
      <w:tr>
        <w:tc>
          <w:tcPr>
            <w:tcW w:type="dxa" w:w="5083"/>
            <w:vAlign w:val="top"/>
          </w:tcPr>
          <w:p>
            <w:r>
              <w:t>Help</w:t>
            </w:r>
          </w:p>
        </w:tc>
        <w:tc>
          <w:tcPr>
            <w:tcW w:type="dxa" w:w="5083"/>
            <w:vAlign w:val="top"/>
          </w:tcPr>
          <w:p>
            <w:r>
              <w:t>Short explanation of deterministic generation and parameter glossary.</w:t>
            </w:r>
          </w:p>
        </w:tc>
      </w:tr>
    </w:tbl>
    <w:p>
      <w:pPr>
        <w:pStyle w:val="Heading1"/>
      </w:pPr>
      <w:r>
        <w:t>13. States and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083"/>
            <w:vAlign w:val="top"/>
          </w:tcPr>
          <w:p>
            <w:r>
              <w:t>Initial load</w:t>
            </w:r>
          </w:p>
        </w:tc>
        <w:tc>
          <w:tcPr>
            <w:tcW w:type="dxa" w:w="5083"/>
            <w:vAlign w:val="top"/>
          </w:tcPr>
          <w:p>
            <w:r>
              <w:t>Show lightweight bindu/loader; do not fake generated artwork before engine is ready.</w:t>
            </w:r>
          </w:p>
        </w:tc>
      </w:tr>
      <w:tr>
        <w:tc>
          <w:tcPr>
            <w:tcW w:type="dxa" w:w="5083"/>
            <w:vAlign w:val="top"/>
          </w:tcPr>
          <w:p>
            <w:r>
              <w:t>Generating</w:t>
            </w:r>
          </w:p>
        </w:tc>
        <w:tc>
          <w:tcPr>
            <w:tcW w:type="dxa" w:w="5083"/>
            <w:vAlign w:val="top"/>
          </w:tcPr>
          <w:p>
            <w:r>
              <w:t>Progressive drawing; controls can be temporarily throttled, not frozen.</w:t>
            </w:r>
          </w:p>
        </w:tc>
      </w:tr>
      <w:tr>
        <w:tc>
          <w:tcPr>
            <w:tcW w:type="dxa" w:w="5083"/>
            <w:vAlign w:val="top"/>
          </w:tcPr>
          <w:p>
            <w:r>
              <w:t>Invalid parameter</w:t>
            </w:r>
          </w:p>
        </w:tc>
        <w:tc>
          <w:tcPr>
            <w:tcW w:type="dxa" w:w="5083"/>
            <w:vAlign w:val="top"/>
          </w:tcPr>
          <w:p>
            <w:r>
              <w:t>Clamp when safe; otherwise explain and preserve previous valid state.</w:t>
            </w:r>
          </w:p>
        </w:tc>
      </w:tr>
      <w:tr>
        <w:tc>
          <w:tcPr>
            <w:tcW w:type="dxa" w:w="5083"/>
            <w:vAlign w:val="top"/>
          </w:tcPr>
          <w:p>
            <w:r>
              <w:t>AI unavailable</w:t>
            </w:r>
          </w:p>
        </w:tc>
        <w:tc>
          <w:tcPr>
            <w:tcW w:type="dxa" w:w="5083"/>
            <w:vAlign w:val="top"/>
          </w:tcPr>
          <w:p>
            <w:r>
              <w:t>Inline message: manual controls remain fully available.</w:t>
            </w:r>
          </w:p>
        </w:tc>
      </w:tr>
      <w:tr>
        <w:tc>
          <w:tcPr>
            <w:tcW w:type="dxa" w:w="5083"/>
            <w:vAlign w:val="top"/>
          </w:tcPr>
          <w:p>
            <w:r>
              <w:t>Prompt ambiguous</w:t>
            </w:r>
          </w:p>
        </w:tc>
        <w:tc>
          <w:tcPr>
            <w:tcW w:type="dxa" w:w="5083"/>
            <w:vAlign w:val="top"/>
          </w:tcPr>
          <w:p>
            <w:r>
              <w:t>Offer interpretation with editable assumptions.</w:t>
            </w:r>
          </w:p>
        </w:tc>
      </w:tr>
      <w:tr>
        <w:tc>
          <w:tcPr>
            <w:tcW w:type="dxa" w:w="5083"/>
            <w:vAlign w:val="top"/>
          </w:tcPr>
          <w:p>
            <w:r>
              <w:t>Heavy geometry</w:t>
            </w:r>
          </w:p>
        </w:tc>
        <w:tc>
          <w:tcPr>
            <w:tcW w:type="dxa" w:w="5083"/>
            <w:vAlign w:val="top"/>
          </w:tcPr>
          <w:p>
            <w:r>
              <w:t>Warn at threshold; offer simplify/lower density before export.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 failure</w:t>
            </w:r>
          </w:p>
        </w:tc>
        <w:tc>
          <w:tcPr>
            <w:tcW w:type="dxa" w:w="5083"/>
            <w:vAlign w:val="top"/>
          </w:tcPr>
          <w:p>
            <w:r>
              <w:t>Preserve composition; show actionable reason; never lose recipe.</w:t>
            </w:r>
          </w:p>
        </w:tc>
      </w:tr>
      <w:tr>
        <w:tc>
          <w:tcPr>
            <w:tcW w:type="dxa" w:w="5083"/>
            <w:vAlign w:val="top"/>
          </w:tcPr>
          <w:p>
            <w:r>
              <w:t>Version mismatch</w:t>
            </w:r>
          </w:p>
        </w:tc>
        <w:tc>
          <w:tcPr>
            <w:tcW w:type="dxa" w:w="5083"/>
            <w:vAlign w:val="top"/>
          </w:tcPr>
          <w:p>
            <w:r>
              <w:t>Attempt compatible renderer; otherwise state that exact reconstruction needs original engine version.</w:t>
            </w:r>
          </w:p>
        </w:tc>
      </w:tr>
      <w:tr>
        <w:tc>
          <w:tcPr>
            <w:tcW w:type="dxa" w:w="5083"/>
            <w:vAlign w:val="top"/>
          </w:tcPr>
          <w:p>
            <w:r>
              <w:t>Reduced motion</w:t>
            </w:r>
          </w:p>
        </w:tc>
        <w:tc>
          <w:tcPr>
            <w:tcW w:type="dxa" w:w="5083"/>
            <w:vAlign w:val="top"/>
          </w:tcPr>
          <w:p>
            <w:r>
              <w:t>Render final composition without growth animation.</w:t>
            </w:r>
          </w:p>
        </w:tc>
      </w:tr>
    </w:tbl>
    <w:p>
      <w:pPr>
        <w:pStyle w:val="Heading1"/>
      </w:pPr>
      <w:r>
        <w:t>14. Cultural integrity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EAEA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89"/>
            <w:shd w:fill="EAEAEA"/>
          </w:tcPr>
          <w:p>
            <w:r>
              <w:rPr>
                <w:b/>
              </w:rPr>
              <w:t>UI label</w:t>
            </w:r>
          </w:p>
        </w:tc>
      </w:tr>
      <w:tr>
        <w:tc>
          <w:tcPr>
            <w:tcW w:type="dxa" w:w="3389"/>
            <w:vAlign w:val="top"/>
          </w:tcPr>
          <w:p>
            <w:r>
              <w:t>Computational geometry</w:t>
            </w:r>
          </w:p>
        </w:tc>
        <w:tc>
          <w:tcPr>
            <w:tcW w:type="dxa" w:w="3389"/>
            <w:vAlign w:val="top"/>
          </w:tcPr>
          <w:p>
            <w:r>
              <w:t>Original algorithmic system using universal geometric operations</w:t>
            </w:r>
          </w:p>
        </w:tc>
        <w:tc>
          <w:tcPr>
            <w:tcW w:type="dxa" w:w="3389"/>
            <w:vAlign w:val="top"/>
          </w:tcPr>
          <w:p>
            <w:r>
              <w:t>Computational</w:t>
            </w:r>
          </w:p>
        </w:tc>
      </w:tr>
      <w:tr>
        <w:tc>
          <w:tcPr>
            <w:tcW w:type="dxa" w:w="3389"/>
            <w:vAlign w:val="top"/>
          </w:tcPr>
          <w:p>
            <w:r>
              <w:t>Tradition-inspired grammar</w:t>
            </w:r>
          </w:p>
        </w:tc>
        <w:tc>
          <w:tcPr>
            <w:tcW w:type="dxa" w:w="3389"/>
            <w:vAlign w:val="top"/>
          </w:tcPr>
          <w:p>
            <w:r>
              <w:t>Research-informed abstraction, not claimed as authentic practice</w:t>
            </w:r>
          </w:p>
        </w:tc>
        <w:tc>
          <w:tcPr>
            <w:tcW w:type="dxa" w:w="3389"/>
            <w:vAlign w:val="top"/>
          </w:tcPr>
          <w:p>
            <w:r>
              <w:t>Inspired / Experimental</w:t>
            </w:r>
          </w:p>
        </w:tc>
      </w:tr>
      <w:tr>
        <w:tc>
          <w:tcPr>
            <w:tcW w:type="dxa" w:w="3389"/>
            <w:vAlign w:val="top"/>
          </w:tcPr>
          <w:p>
            <w:r>
              <w:t>Documented traditional grammar</w:t>
            </w:r>
          </w:p>
        </w:tc>
        <w:tc>
          <w:tcPr>
            <w:tcW w:type="dxa" w:w="3389"/>
            <w:vAlign w:val="top"/>
          </w:tcPr>
          <w:p>
            <w:r>
              <w:t>Rules supported by sources and, where appropriate, practitioner/scholar review</w:t>
            </w:r>
          </w:p>
        </w:tc>
        <w:tc>
          <w:tcPr>
            <w:tcW w:type="dxa" w:w="3389"/>
            <w:vAlign w:val="top"/>
          </w:tcPr>
          <w:p>
            <w:r>
              <w:t>Documented</w:t>
            </w:r>
          </w:p>
        </w:tc>
      </w:tr>
    </w:tbl>
    <w:p>
      <w:pPr>
        <w:pStyle w:val="ListBullet"/>
      </w:pPr>
      <w:r>
        <w:t>Sacred diagrams are not casually randomized and presented as authentic Yantras.</w:t>
      </w:r>
    </w:p>
    <w:p>
      <w:pPr>
        <w:pStyle w:val="ListBullet"/>
      </w:pPr>
      <w:r>
        <w:t>Each future cultural grammar includes source notes, scope, limitations and attribution.</w:t>
      </w:r>
    </w:p>
    <w:p>
      <w:pPr>
        <w:pStyle w:val="ListBullet"/>
      </w:pPr>
      <w:r>
        <w:t>Collaborators/practitioners are credited prominently when their knowledge shapes a grammar.</w:t>
      </w:r>
    </w:p>
    <w:p>
      <w:pPr>
        <w:pStyle w:val="ListBullet"/>
      </w:pPr>
      <w:r>
        <w:t>The project distinguishes visual similarity from cultural meaning.</w:t>
      </w:r>
    </w:p>
    <w:p>
      <w:pPr>
        <w:pStyle w:val="ListBullet"/>
      </w:pPr>
      <w:r>
        <w:t>Training/reference imagery is not silently repackaged as generated vector assets.</w:t>
      </w:r>
    </w:p>
    <w:p>
      <w:pPr>
        <w:pStyle w:val="Heading1"/>
      </w:pPr>
      <w:r>
        <w:t>15. Accessibility and responsive behavior</w:t>
      </w:r>
    </w:p>
    <w:p>
      <w:pPr>
        <w:pStyle w:val="ListBullet"/>
      </w:pPr>
      <w:r>
        <w:t>All inspector controls have programmatic labels, keyboard access and visible focus.</w:t>
      </w:r>
    </w:p>
    <w:p>
      <w:pPr>
        <w:pStyle w:val="ListBullet"/>
      </w:pPr>
      <w:r>
        <w:t>Never communicate parameter state only by color.</w:t>
      </w:r>
    </w:p>
    <w:p>
      <w:pPr>
        <w:pStyle w:val="ListBullet"/>
      </w:pPr>
      <w:r>
        <w:t>Contrast meets WCAG AA for tool UI wherever applicable.</w:t>
      </w:r>
    </w:p>
    <w:p>
      <w:pPr>
        <w:pStyle w:val="ListBullet"/>
      </w:pPr>
      <w:r>
        <w:t>Respect reduced motion; animation is pausable/skippable.</w:t>
      </w:r>
    </w:p>
    <w:p>
      <w:pPr>
        <w:pStyle w:val="ListBullet"/>
      </w:pPr>
      <w:r>
        <w:t>Desktop is primary creation environment. Tablet receives full creation where feasible. Mobile v0.1 prioritizes viewing, seed changes, simple controls and export/share.</w:t>
      </w:r>
    </w:p>
    <w:p>
      <w:pPr>
        <w:pStyle w:val="ListBullet"/>
      </w:pPr>
      <w:r>
        <w:t>Touch targets are at least approximately 44×44 CSS px on touch layouts.</w:t>
      </w:r>
    </w:p>
    <w:p>
      <w:pPr>
        <w:pStyle w:val="ListBullet"/>
      </w:pPr>
      <w:r>
        <w:t>Artwork itself may be visually complex; UI chrome remains readable and restrained.</w:t>
      </w:r>
    </w:p>
    <w:p>
      <w:pPr>
        <w:pStyle w:val="Heading1"/>
      </w:pPr>
      <w:r>
        <w:t>16.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083"/>
            <w:vAlign w:val="top"/>
          </w:tcPr>
          <w:p>
            <w:r>
              <w:t>App</w:t>
            </w:r>
          </w:p>
        </w:tc>
        <w:tc>
          <w:tcPr>
            <w:tcW w:type="dxa" w:w="5083"/>
            <w:vAlign w:val="top"/>
          </w:tcPr>
          <w:p>
            <w:r>
              <w:t>React + TypeScript (or equivalent typed web stack)</w:t>
            </w:r>
          </w:p>
        </w:tc>
      </w:tr>
      <w:tr>
        <w:tc>
          <w:tcPr>
            <w:tcW w:type="dxa" w:w="5083"/>
            <w:vAlign w:val="top"/>
          </w:tcPr>
          <w:p>
            <w:r>
              <w:t>Renderer</w:t>
            </w:r>
          </w:p>
        </w:tc>
        <w:tc>
          <w:tcPr>
            <w:tcW w:type="dxa" w:w="5083"/>
            <w:vAlign w:val="top"/>
          </w:tcPr>
          <w:p>
            <w:r>
              <w:t>SVG DOM / generated SVG tree</w:t>
            </w:r>
          </w:p>
        </w:tc>
      </w:tr>
      <w:tr>
        <w:tc>
          <w:tcPr>
            <w:tcW w:type="dxa" w:w="5083"/>
            <w:vAlign w:val="top"/>
          </w:tcPr>
          <w:p>
            <w:r>
              <w:t>State</w:t>
            </w:r>
          </w:p>
        </w:tc>
        <w:tc>
          <w:tcPr>
            <w:tcW w:type="dxa" w:w="5083"/>
            <w:vAlign w:val="top"/>
          </w:tcPr>
          <w:p>
            <w:r>
              <w:t>Serializable recipe state; no renderer-only hidden state</w:t>
            </w:r>
          </w:p>
        </w:tc>
      </w:tr>
      <w:tr>
        <w:tc>
          <w:tcPr>
            <w:tcW w:type="dxa" w:w="5083"/>
            <w:vAlign w:val="top"/>
          </w:tcPr>
          <w:p>
            <w:r>
              <w:t>Randomness</w:t>
            </w:r>
          </w:p>
        </w:tc>
        <w:tc>
          <w:tcPr>
            <w:tcW w:type="dxa" w:w="5083"/>
            <w:vAlign w:val="top"/>
          </w:tcPr>
          <w:p>
            <w:r>
              <w:t>Seeded PRNG</w:t>
            </w:r>
          </w:p>
        </w:tc>
      </w:tr>
      <w:tr>
        <w:tc>
          <w:tcPr>
            <w:tcW w:type="dxa" w:w="5083"/>
            <w:vAlign w:val="top"/>
          </w:tcPr>
          <w:p>
            <w:r>
              <w:t>Grammar</w:t>
            </w:r>
          </w:p>
        </w:tc>
        <w:tc>
          <w:tcPr>
            <w:tcW w:type="dxa" w:w="5083"/>
            <w:vAlign w:val="top"/>
          </w:tcPr>
          <w:p>
            <w:r>
              <w:t>Versioned declarative definitions + typed transformation functions</w:t>
            </w:r>
          </w:p>
        </w:tc>
      </w:tr>
      <w:tr>
        <w:tc>
          <w:tcPr>
            <w:tcW w:type="dxa" w:w="5083"/>
            <w:vAlign w:val="top"/>
          </w:tcPr>
          <w:p>
            <w:r>
              <w:t>AI adapter</w:t>
            </w:r>
          </w:p>
        </w:tc>
        <w:tc>
          <w:tcPr>
            <w:tcW w:type="dxa" w:w="5083"/>
            <w:vAlign w:val="top"/>
          </w:tcPr>
          <w:p>
            <w:r>
              <w:t>Server/API boundary returning strict schema; optional local/mock adapter for development</w:t>
            </w:r>
          </w:p>
        </w:tc>
      </w:tr>
      <w:tr>
        <w:tc>
          <w:tcPr>
            <w:tcW w:type="dxa" w:w="5083"/>
            <w:vAlign w:val="top"/>
          </w:tcPr>
          <w:p>
            <w:r>
              <w:t>Persistence MVP</w:t>
            </w:r>
          </w:p>
        </w:tc>
        <w:tc>
          <w:tcPr>
            <w:tcW w:type="dxa" w:w="5083"/>
            <w:vAlign w:val="top"/>
          </w:tcPr>
          <w:p>
            <w:r>
              <w:t>URL + localStorage/session history; no account required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</w:t>
            </w:r>
          </w:p>
        </w:tc>
        <w:tc>
          <w:tcPr>
            <w:tcW w:type="dxa" w:w="5083"/>
            <w:vAlign w:val="top"/>
          </w:tcPr>
          <w:p>
            <w:r>
              <w:t>Client-side SVG serialization + sanitizer + optimizer; PNG from same vector scene</w:t>
            </w:r>
          </w:p>
        </w:tc>
      </w:tr>
      <w:tr>
        <w:tc>
          <w:tcPr>
            <w:tcW w:type="dxa" w:w="5083"/>
            <w:vAlign w:val="top"/>
          </w:tcPr>
          <w:p>
            <w:r>
              <w:t>Testing</w:t>
            </w:r>
          </w:p>
        </w:tc>
        <w:tc>
          <w:tcPr>
            <w:tcW w:type="dxa" w:w="5083"/>
            <w:vAlign w:val="top"/>
          </w:tcPr>
          <w:p>
            <w:r>
              <w:t>Unit tests for grammar/seed determinism; visual snapshots; cross-editor export matrix</w:t>
            </w:r>
          </w:p>
        </w:tc>
      </w:tr>
      <w:tr>
        <w:tc>
          <w:tcPr>
            <w:tcW w:type="dxa" w:w="5083"/>
            <w:vAlign w:val="top"/>
          </w:tcPr>
          <w:p>
            <w:r>
              <w:t>Open source</w:t>
            </w:r>
          </w:p>
        </w:tc>
        <w:tc>
          <w:tcPr>
            <w:tcW w:type="dxa" w:w="5083"/>
            <w:vAlign w:val="top"/>
          </w:tcPr>
          <w:p>
            <w:r>
              <w:t>Core engine, grammar spec, examples and architecture docs</w:t>
            </w:r>
          </w:p>
        </w:tc>
      </w:tr>
    </w:tbl>
    <w:p>
      <w:pPr>
        <w:pStyle w:val="Heading1"/>
      </w:pPr>
      <w:r>
        <w:t>17. Data model</w:t>
      </w:r>
    </w:p>
    <w:p>
      <w:r>
        <w:t>Canonical recipe object:</w:t>
      </w:r>
    </w:p>
    <w:p>
      <w:pPr>
        <w:pStyle w:val="Quote"/>
      </w:pPr>
      <w:r>
        <w:t>{</w:t>
        <w:br/>
        <w:t xml:space="preserve">  "schemaVersion": "1.0",</w:t>
        <w:br/>
        <w:t xml:space="preserve">  "engineVersion": "0.1.0",</w:t>
        <w:br/>
        <w:t xml:space="preserve">  "grammar": {"id": "geometric-radial", "version": "0.1.0"},</w:t>
        <w:br/>
        <w:t xml:space="preserve">  "seed": "108",</w:t>
        <w:br/>
        <w:t xml:space="preserve">  "canvas": {"width": 1600, "height": 1600, "background": "transparent"},</w:t>
        <w:br/>
        <w:t xml:space="preserve">  "parameters": {</w:t>
        <w:br/>
        <w:t xml:space="preserve">    "symmetry": {"mode": "radial", "segments": 8},</w:t>
        <w:br/>
        <w:t xml:space="preserve">    "rings": 5,</w:t>
        <w:br/>
        <w:t xml:space="preserve">    "recursion": {"depth": 4, "scale": 0.72},</w:t>
        <w:br/>
        <w:t xml:space="preserve">    "density": 0.31,</w:t>
        <w:br/>
        <w:t xml:space="preserve">    "prana": 0.08,</w:t>
        <w:br/>
        <w:t xml:space="preserve">    "line": {"weight": 0.7},</w:t>
        <w:br/>
        <w:t xml:space="preserve">    "motifs": {"primary": "petal", "secondary": "triangle"}</w:t>
        <w:br/>
        <w:t xml:space="preserve">  },</w:t>
        <w:br/>
        <w:t xml:space="preserve">  "provenance": {"aiInterpreted": false, "parentRecipe": null},</w:t>
        <w:br/>
        <w:t xml:space="preserve">  "checksum": "..."</w:t>
        <w:br/>
        <w:t>}</w:t>
      </w:r>
    </w:p>
    <w:p>
      <w:pPr>
        <w:pStyle w:val="Heading1"/>
      </w:pPr>
      <w:r>
        <w:t>18. Analytics and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5083"/>
            <w:vAlign w:val="top"/>
          </w:tcPr>
          <w:p>
            <w:r>
              <w:t>composition_generated</w:t>
            </w:r>
          </w:p>
        </w:tc>
        <w:tc>
          <w:tcPr>
            <w:tcW w:type="dxa" w:w="5083"/>
            <w:vAlign w:val="top"/>
          </w:tcPr>
          <w:p>
            <w:r>
              <w:t>Understand creation frequency and seed/preset entry</w:t>
            </w:r>
          </w:p>
        </w:tc>
      </w:tr>
      <w:tr>
        <w:tc>
          <w:tcPr>
            <w:tcW w:type="dxa" w:w="5083"/>
            <w:vAlign w:val="top"/>
          </w:tcPr>
          <w:p>
            <w:r>
              <w:t>parameter_changed</w:t>
            </w:r>
          </w:p>
        </w:tc>
        <w:tc>
          <w:tcPr>
            <w:tcW w:type="dxa" w:w="5083"/>
            <w:vAlign w:val="top"/>
          </w:tcPr>
          <w:p>
            <w:r>
              <w:t>Which controls matter</w:t>
            </w:r>
          </w:p>
        </w:tc>
      </w:tr>
      <w:tr>
        <w:tc>
          <w:tcPr>
            <w:tcW w:type="dxa" w:w="5083"/>
            <w:vAlign w:val="top"/>
          </w:tcPr>
          <w:p>
            <w:r>
              <w:t>intent_submitted</w:t>
            </w:r>
          </w:p>
        </w:tc>
        <w:tc>
          <w:tcPr>
            <w:tcW w:type="dxa" w:w="5083"/>
            <w:vAlign w:val="top"/>
          </w:tcPr>
          <w:p>
            <w:r>
              <w:t>Adoption of AI interaction; prompt text should not be logged by default</w:t>
            </w:r>
          </w:p>
        </w:tc>
      </w:tr>
      <w:tr>
        <w:tc>
          <w:tcPr>
            <w:tcW w:type="dxa" w:w="5083"/>
            <w:vAlign w:val="top"/>
          </w:tcPr>
          <w:p>
            <w:r>
              <w:t>interpretation_applied</w:t>
            </w:r>
          </w:p>
        </w:tc>
        <w:tc>
          <w:tcPr>
            <w:tcW w:type="dxa" w:w="5083"/>
            <w:vAlign w:val="top"/>
          </w:tcPr>
          <w:p>
            <w:r>
              <w:t>Whether AI mapping is useful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export_opened</w:t>
            </w:r>
          </w:p>
        </w:tc>
        <w:tc>
          <w:tcPr>
            <w:tcW w:type="dxa" w:w="5083"/>
            <w:vAlign w:val="top"/>
          </w:tcPr>
          <w:p>
            <w:r>
              <w:t>Intent to take work outside product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export_completed</w:t>
            </w:r>
          </w:p>
        </w:tc>
        <w:tc>
          <w:tcPr>
            <w:tcW w:type="dxa" w:w="5083"/>
            <w:vAlign w:val="top"/>
          </w:tcPr>
          <w:p>
            <w:r>
              <w:t>Core value completion</w:t>
            </w:r>
          </w:p>
        </w:tc>
      </w:tr>
      <w:tr>
        <w:tc>
          <w:tcPr>
            <w:tcW w:type="dxa" w:w="5083"/>
            <w:vAlign w:val="top"/>
          </w:tcPr>
          <w:p>
            <w:r>
              <w:t>export_preset_selected</w:t>
            </w:r>
          </w:p>
        </w:tc>
        <w:tc>
          <w:tcPr>
            <w:tcW w:type="dxa" w:w="5083"/>
            <w:vAlign w:val="top"/>
          </w:tcPr>
          <w:p>
            <w:r>
              <w:t>External workflow demand</w:t>
            </w:r>
          </w:p>
        </w:tc>
      </w:tr>
      <w:tr>
        <w:tc>
          <w:tcPr>
            <w:tcW w:type="dxa" w:w="5083"/>
            <w:vAlign w:val="top"/>
          </w:tcPr>
          <w:p>
            <w:r>
              <w:t>share_created</w:t>
            </w:r>
          </w:p>
        </w:tc>
        <w:tc>
          <w:tcPr>
            <w:tcW w:type="dxa" w:w="5083"/>
            <w:vAlign w:val="top"/>
          </w:tcPr>
          <w:p>
            <w:r>
              <w:t>Reproducibility/social value</w:t>
            </w:r>
          </w:p>
        </w:tc>
      </w:tr>
      <w:tr>
        <w:tc>
          <w:tcPr>
            <w:tcW w:type="dxa" w:w="5083"/>
            <w:vAlign w:val="top"/>
          </w:tcPr>
          <w:p>
            <w:r>
              <w:t>recipe_imported</w:t>
            </w:r>
          </w:p>
        </w:tc>
        <w:tc>
          <w:tcPr>
            <w:tcW w:type="dxa" w:w="5083"/>
            <w:vAlign w:val="top"/>
          </w:tcPr>
          <w:p>
            <w:r>
              <w:t>Reuse/remix value</w:t>
            </w:r>
          </w:p>
        </w:tc>
      </w:tr>
      <w:tr>
        <w:tc>
          <w:tcPr>
            <w:tcW w:type="dxa" w:w="5083"/>
            <w:vAlign w:val="top"/>
          </w:tcPr>
          <w:p>
            <w:r>
              <w:t>generation_slow_warning</w:t>
            </w:r>
          </w:p>
        </w:tc>
        <w:tc>
          <w:tcPr>
            <w:tcW w:type="dxa" w:w="5083"/>
            <w:vAlign w:val="top"/>
          </w:tcPr>
          <w:p>
            <w:r>
              <w:t>Performance tuning</w:t>
            </w:r>
          </w:p>
        </w:tc>
      </w:tr>
    </w:tbl>
    <w:p>
      <w:r>
        <w:t>Privacy principle: collect event metadata conservatively. Do not store natural-language prompts or exported artwork by default.</w:t>
      </w:r>
    </w:p>
    <w:p>
      <w:pPr>
        <w:pStyle w:val="Heading1"/>
      </w:pPr>
      <w:r>
        <w:t>19. Performance and quality budgets</w:t>
      </w:r>
    </w:p>
    <w:p>
      <w:pPr>
        <w:pStyle w:val="ListBullet"/>
      </w:pPr>
      <w:r>
        <w:t>Keep ordinary MVP compositions comfortably interactive; establish path/node thresholds through profiling rather than guessing.</w:t>
      </w:r>
    </w:p>
    <w:p>
      <w:pPr>
        <w:pStyle w:val="ListBullet"/>
      </w:pPr>
      <w:r>
        <w:t>Parameter updates should debounce/throttle only when necessary and visually preserve direct manipulation.</w:t>
      </w:r>
    </w:p>
    <w:p>
      <w:pPr>
        <w:pStyle w:val="ListBullet"/>
      </w:pPr>
      <w:r>
        <w:t>Long-running generation must be cancellable.</w:t>
      </w:r>
    </w:p>
    <w:p>
      <w:pPr>
        <w:pStyle w:val="ListBullet"/>
      </w:pPr>
      <w:r>
        <w:t>Export must not mutate the live recipe.</w:t>
      </w:r>
    </w:p>
    <w:p>
      <w:pPr>
        <w:pStyle w:val="ListBullet"/>
      </w:pPr>
      <w:r>
        <w:t>Use deterministic geometry snapshots in CI for representative seeds.</w:t>
      </w:r>
    </w:p>
    <w:p>
      <w:pPr>
        <w:pStyle w:val="ListBullet"/>
      </w:pPr>
      <w:r>
        <w:t>Maintain a golden export set across Figma, Illustrator, Inkscape and browser embedding.</w:t>
      </w:r>
    </w:p>
    <w:p>
      <w:pPr>
        <w:pStyle w:val="ListBullet"/>
      </w:pPr>
      <w:r>
        <w:t>No console errors in normal creation/export flow.</w:t>
      </w:r>
    </w:p>
    <w:p>
      <w:pPr>
        <w:pStyle w:val="Heading1"/>
      </w:pPr>
      <w:r>
        <w:t>20. 14-day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Day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083"/>
            <w:vAlign w:val="top"/>
          </w:tcPr>
          <w:p>
            <w:r>
              <w:t>1</w:t>
            </w:r>
          </w:p>
        </w:tc>
        <w:tc>
          <w:tcPr>
            <w:tcW w:type="dxa" w:w="5083"/>
            <w:vAlign w:val="top"/>
          </w:tcPr>
          <w:p>
            <w:r>
              <w:t>Lock visual thesis, repo, typed recipe schema, seeded PRNG, first primitive tests.</w:t>
            </w:r>
          </w:p>
        </w:tc>
      </w:tr>
      <w:tr>
        <w:tc>
          <w:tcPr>
            <w:tcW w:type="dxa" w:w="5083"/>
            <w:vAlign w:val="top"/>
          </w:tcPr>
          <w:p>
            <w:r>
              <w:t>2</w:t>
            </w:r>
          </w:p>
        </w:tc>
        <w:tc>
          <w:tcPr>
            <w:tcW w:type="dxa" w:w="5083"/>
            <w:vAlign w:val="top"/>
          </w:tcPr>
          <w:p>
            <w:r>
              <w:t>SVG renderer: point/line/circle/polygon/group; transforms.</w:t>
            </w:r>
          </w:p>
        </w:tc>
      </w:tr>
      <w:tr>
        <w:tc>
          <w:tcPr>
            <w:tcW w:type="dxa" w:w="5083"/>
            <w:vAlign w:val="top"/>
          </w:tcPr>
          <w:p>
            <w:r>
              <w:t>3</w:t>
            </w:r>
          </w:p>
        </w:tc>
        <w:tc>
          <w:tcPr>
            <w:tcW w:type="dxa" w:w="5083"/>
            <w:vAlign w:val="top"/>
          </w:tcPr>
          <w:p>
            <w:r>
              <w:t>Radial repeat, rings, recursion; produce first 20 candidate outputs.</w:t>
            </w:r>
          </w:p>
        </w:tc>
      </w:tr>
      <w:tr>
        <w:tc>
          <w:tcPr>
            <w:tcW w:type="dxa" w:w="5083"/>
            <w:vAlign w:val="top"/>
          </w:tcPr>
          <w:p>
            <w:r>
              <w:t>4</w:t>
            </w:r>
          </w:p>
        </w:tc>
        <w:tc>
          <w:tcPr>
            <w:tcW w:type="dxa" w:w="5083"/>
            <w:vAlign w:val="top"/>
          </w:tcPr>
          <w:p>
            <w:r>
              <w:t>Curate visual rules; introduce controlled imperfection/Prana; remove ugly failure modes.</w:t>
            </w:r>
          </w:p>
        </w:tc>
      </w:tr>
      <w:tr>
        <w:tc>
          <w:tcPr>
            <w:tcW w:type="dxa" w:w="5083"/>
            <w:vAlign w:val="top"/>
          </w:tcPr>
          <w:p>
            <w:r>
              <w:t>5</w:t>
            </w:r>
          </w:p>
        </w:tc>
        <w:tc>
          <w:tcPr>
            <w:tcW w:type="dxa" w:w="5083"/>
            <w:vAlign w:val="top"/>
          </w:tcPr>
          <w:p>
            <w:r>
              <w:t>Build canvas shell + seed control + regenerate.</w:t>
            </w:r>
          </w:p>
        </w:tc>
      </w:tr>
      <w:tr>
        <w:tc>
          <w:tcPr>
            <w:tcW w:type="dxa" w:w="5083"/>
            <w:vAlign w:val="top"/>
          </w:tcPr>
          <w:p>
            <w:r>
              <w:t>6</w:t>
            </w:r>
          </w:p>
        </w:tc>
        <w:tc>
          <w:tcPr>
            <w:tcW w:type="dxa" w:w="5083"/>
            <w:vAlign w:val="top"/>
          </w:tcPr>
          <w:p>
            <w:r>
              <w:t>Inspector and live parameter editing; undo/redo.</w:t>
            </w:r>
          </w:p>
        </w:tc>
      </w:tr>
      <w:tr>
        <w:tc>
          <w:tcPr>
            <w:tcW w:type="dxa" w:w="5083"/>
            <w:vAlign w:val="top"/>
          </w:tcPr>
          <w:p>
            <w:r>
              <w:t>7</w:t>
            </w:r>
          </w:p>
        </w:tc>
        <w:tc>
          <w:tcPr>
            <w:tcW w:type="dxa" w:w="5083"/>
            <w:vAlign w:val="top"/>
          </w:tcPr>
          <w:p>
            <w:r>
              <w:t>Growth animation + replay/skip + reduced motion.</w:t>
            </w:r>
          </w:p>
        </w:tc>
      </w:tr>
      <w:tr>
        <w:tc>
          <w:tcPr>
            <w:tcW w:type="dxa" w:w="5083"/>
            <w:vAlign w:val="top"/>
          </w:tcPr>
          <w:p>
            <w:r>
              <w:t>8</w:t>
            </w:r>
          </w:p>
        </w:tc>
        <w:tc>
          <w:tcPr>
            <w:tcW w:type="dxa" w:w="5083"/>
            <w:vAlign w:val="top"/>
          </w:tcPr>
          <w:p>
            <w:r>
              <w:t>SVG serializer, sanitizer and Editable SVG export.</w:t>
            </w:r>
          </w:p>
        </w:tc>
      </w:tr>
      <w:tr>
        <w:tc>
          <w:tcPr>
            <w:tcW w:type="dxa" w:w="5083"/>
            <w:vAlign w:val="top"/>
          </w:tcPr>
          <w:p>
            <w:r>
              <w:t>9</w:t>
            </w:r>
          </w:p>
        </w:tc>
        <w:tc>
          <w:tcPr>
            <w:tcW w:type="dxa" w:w="5083"/>
            <w:vAlign w:val="top"/>
          </w:tcPr>
          <w:p>
            <w:r>
              <w:t>Cross-editor export QA; JSON recipe import/export; share URL.</w:t>
            </w:r>
          </w:p>
        </w:tc>
      </w:tr>
      <w:tr>
        <w:tc>
          <w:tcPr>
            <w:tcW w:type="dxa" w:w="5083"/>
            <w:vAlign w:val="top"/>
          </w:tcPr>
          <w:p>
            <w:r>
              <w:t>10</w:t>
            </w:r>
          </w:p>
        </w:tc>
        <w:tc>
          <w:tcPr>
            <w:tcW w:type="dxa" w:w="5083"/>
            <w:vAlign w:val="top"/>
          </w:tcPr>
          <w:p>
            <w:r>
              <w:t>Natural-language adapter + schema validation + interpretation preview.</w:t>
            </w:r>
          </w:p>
        </w:tc>
      </w:tr>
      <w:tr>
        <w:tc>
          <w:tcPr>
            <w:tcW w:type="dxa" w:w="5083"/>
            <w:vAlign w:val="top"/>
          </w:tcPr>
          <w:p>
            <w:r>
              <w:t>11</w:t>
            </w:r>
          </w:p>
        </w:tc>
        <w:tc>
          <w:tcPr>
            <w:tcW w:type="dxa" w:w="5083"/>
            <w:vAlign w:val="top"/>
          </w:tcPr>
          <w:p>
            <w:r>
              <w:t>Responsive states, accessibility pass, empty/error/AI-offline states.</w:t>
            </w:r>
          </w:p>
        </w:tc>
      </w:tr>
      <w:tr>
        <w:tc>
          <w:tcPr>
            <w:tcW w:type="dxa" w:w="5083"/>
            <w:vAlign w:val="top"/>
          </w:tcPr>
          <w:p>
            <w:r>
              <w:t>12</w:t>
            </w:r>
          </w:p>
        </w:tc>
        <w:tc>
          <w:tcPr>
            <w:tcW w:type="dxa" w:w="5083"/>
            <w:vAlign w:val="top"/>
          </w:tcPr>
          <w:p>
            <w:r>
              <w:t>Polish typography, transitions, onboarding and export preflight.</w:t>
            </w:r>
          </w:p>
        </w:tc>
      </w:tr>
      <w:tr>
        <w:tc>
          <w:tcPr>
            <w:tcW w:type="dxa" w:w="5083"/>
            <w:vAlign w:val="top"/>
          </w:tcPr>
          <w:p>
            <w:r>
              <w:t>13</w:t>
            </w:r>
          </w:p>
        </w:tc>
        <w:tc>
          <w:tcPr>
            <w:tcW w:type="dxa" w:w="5083"/>
            <w:vAlign w:val="top"/>
          </w:tcPr>
          <w:p>
            <w:r>
              <w:t>Open-source README, architecture/grammar docs, capture failed explorations and decisions.</w:t>
            </w:r>
          </w:p>
        </w:tc>
      </w:tr>
      <w:tr>
        <w:tc>
          <w:tcPr>
            <w:tcW w:type="dxa" w:w="5083"/>
            <w:vAlign w:val="top"/>
          </w:tcPr>
          <w:p>
            <w:r>
              <w:t>14</w:t>
            </w:r>
          </w:p>
        </w:tc>
        <w:tc>
          <w:tcPr>
            <w:tcW w:type="dxa" w:w="5083"/>
            <w:vAlign w:val="top"/>
          </w:tcPr>
          <w:p>
            <w:r>
              <w:t>Regression/export matrix, launch build, portfolio case-study capture, demo video.</w:t>
            </w:r>
          </w:p>
        </w:tc>
      </w:tr>
    </w:tbl>
    <w:p>
      <w:pPr>
        <w:pStyle w:val="Heading1"/>
      </w:pPr>
      <w:r>
        <w:t>21. Portfolio evidence capture plan</w:t>
      </w:r>
    </w:p>
    <w:p>
      <w:r>
        <w:t>Do not reconstruct the case study later. Capture evidence while building.</w:t>
      </w:r>
    </w:p>
    <w:p>
      <w:pPr>
        <w:pStyle w:val="ListBullet"/>
      </w:pPr>
      <w:r>
        <w:t>Initial hypothesis and why a procedural engine was chosen over image generation.</w:t>
      </w:r>
    </w:p>
    <w:p>
      <w:pPr>
        <w:pStyle w:val="ListBullet"/>
      </w:pPr>
      <w:r>
        <w:t>20 early outputs including failures; annotate what looked mechanical or incoherent.</w:t>
      </w:r>
    </w:p>
    <w:p>
      <w:pPr>
        <w:pStyle w:val="ListBullet"/>
      </w:pPr>
      <w:r>
        <w:t>Grammar map: primitive → rule → parameter → composition.</w:t>
      </w:r>
    </w:p>
    <w:p>
      <w:pPr>
        <w:pStyle w:val="ListBullet"/>
      </w:pPr>
      <w:r>
        <w:t>Three alternative interaction models and why the final inspector/intent model won.</w:t>
      </w:r>
    </w:p>
    <w:p>
      <w:pPr>
        <w:pStyle w:val="ListBullet"/>
      </w:pPr>
      <w:r>
        <w:t>AI boundary diagram: intent interpretation vs deterministic rendering.</w:t>
      </w:r>
    </w:p>
    <w:p>
      <w:pPr>
        <w:pStyle w:val="ListBullet"/>
      </w:pPr>
      <w:r>
        <w:t>Export problem: examples of dirty/uneditable SVG vs final clean export.</w:t>
      </w:r>
    </w:p>
    <w:p>
      <w:pPr>
        <w:pStyle w:val="ListBullet"/>
      </w:pPr>
      <w:r>
        <w:t>Cross-editor screenshots showing the same exported vector being edited.</w:t>
      </w:r>
    </w:p>
    <w:p>
      <w:pPr>
        <w:pStyle w:val="ListBullet"/>
      </w:pPr>
      <w:r>
        <w:t>Performance trade-offs and geometry simplification decisions.</w:t>
      </w:r>
    </w:p>
    <w:p>
      <w:pPr>
        <w:pStyle w:val="ListBullet"/>
      </w:pPr>
      <w:r>
        <w:t>Accessibility/reduced-motion decisions.</w:t>
      </w:r>
    </w:p>
    <w:p>
      <w:pPr>
        <w:pStyle w:val="ListBullet"/>
      </w:pPr>
      <w:r>
        <w:t>Final live demo + GitHub + Figma explorations + concise metrics/learning.</w:t>
      </w:r>
    </w:p>
    <w:p>
      <w:pPr>
        <w:pStyle w:val="Heading1"/>
      </w:pPr>
      <w:r>
        <w:t>22. Release acceptance criteria</w:t>
      </w:r>
    </w:p>
    <w:p>
      <w:pPr>
        <w:pStyle w:val="ListBullet"/>
      </w:pPr>
      <w:r>
        <w:t>Given a seed and recipe, JANTRA produces the same composition on repeated runs of the same engine/grammar version.</w:t>
      </w:r>
    </w:p>
    <w:p>
      <w:pPr>
        <w:pStyle w:val="ListBullet"/>
      </w:pPr>
      <w:r>
        <w:t>A non-coder can create and materially alter a composition using the inspector.</w:t>
      </w:r>
    </w:p>
    <w:p>
      <w:pPr>
        <w:pStyle w:val="ListBullet"/>
      </w:pPr>
      <w:r>
        <w:t>Natural-language input can be converted to valid, editable parameters; failure does not block manual use.</w:t>
      </w:r>
    </w:p>
    <w:p>
      <w:pPr>
        <w:pStyle w:val="ListBullet"/>
      </w:pPr>
      <w:r>
        <w:t>Growth animation can be replayed or skipped and respects reduced-motion preference.</w:t>
      </w:r>
    </w:p>
    <w:p>
      <w:pPr>
        <w:pStyle w:val="ListBullet"/>
      </w:pPr>
      <w:r>
        <w:t>Editable SVG export opens successfully as vectors in Figma, Illustrator and Inkscape.</w:t>
      </w:r>
    </w:p>
    <w:p>
      <w:pPr>
        <w:pStyle w:val="ListBullet"/>
      </w:pPr>
      <w:r>
        <w:t>Exported SVG has no external network dependencies or scripts and preserves expected appearance.</w:t>
      </w:r>
    </w:p>
    <w:p>
      <w:pPr>
        <w:pStyle w:val="ListBullet"/>
      </w:pPr>
      <w:r>
        <w:t>Recipe JSON can reconstruct the composition after a fresh session.</w:t>
      </w:r>
    </w:p>
    <w:p>
      <w:pPr>
        <w:pStyle w:val="ListBullet"/>
      </w:pPr>
      <w:r>
        <w:t>Share URL reconstructs the intended composition or clearly reports version incompatibility.</w:t>
      </w:r>
    </w:p>
    <w:p>
      <w:pPr>
        <w:pStyle w:val="ListBullet"/>
      </w:pPr>
      <w:r>
        <w:t>Tool UI works at desktop width and provides a usable mobile viewing/basic-edit experience.</w:t>
      </w:r>
    </w:p>
    <w:p>
      <w:pPr>
        <w:pStyle w:val="ListBullet"/>
      </w:pPr>
      <w:r>
        <w:t>README explains engine architecture, deterministic seed model, grammar system, cultural classification and export guarantees.</w:t>
      </w:r>
    </w:p>
    <w:p>
      <w:pPr>
        <w:pStyle w:val="Heading1"/>
      </w:pPr>
      <w:r>
        <w:t>23. Post-MVP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EAEA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83"/>
            <w:shd w:fill="EAEAEA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5083"/>
            <w:vAlign w:val="top"/>
          </w:tcPr>
          <w:p>
            <w:r>
              <w:t>V0.2</w:t>
            </w:r>
          </w:p>
        </w:tc>
        <w:tc>
          <w:tcPr>
            <w:tcW w:type="dxa" w:w="5083"/>
            <w:vAlign w:val="top"/>
          </w:tcPr>
          <w:p>
            <w:r>
              <w:t>Infinite pan/zoom experiments, larger scene tiling, plotter-ready export.</w:t>
            </w:r>
          </w:p>
        </w:tc>
      </w:tr>
      <w:tr>
        <w:tc>
          <w:tcPr>
            <w:tcW w:type="dxa" w:w="5083"/>
            <w:vAlign w:val="top"/>
          </w:tcPr>
          <w:p>
            <w:r>
              <w:t>V0.3</w:t>
            </w:r>
          </w:p>
        </w:tc>
        <w:tc>
          <w:tcPr>
            <w:tcW w:type="dxa" w:w="5083"/>
            <w:vAlign w:val="top"/>
          </w:tcPr>
          <w:p>
            <w:r>
              <w:t>Sketch → grammar analysis; user draws a motif and JANTRA detects repetition/symmetry.</w:t>
            </w:r>
          </w:p>
        </w:tc>
      </w:tr>
      <w:tr>
        <w:tc>
          <w:tcPr>
            <w:tcW w:type="dxa" w:w="5083"/>
            <w:vAlign w:val="top"/>
          </w:tcPr>
          <w:p>
            <w:r>
              <w:t>V0.4</w:t>
            </w:r>
          </w:p>
        </w:tc>
        <w:tc>
          <w:tcPr>
            <w:tcW w:type="dxa" w:w="5083"/>
            <w:vAlign w:val="top"/>
          </w:tcPr>
          <w:p>
            <w:r>
              <w:t>First researched tradition-inspired grammar with sources and collaborator review.</w:t>
            </w:r>
          </w:p>
        </w:tc>
      </w:tr>
      <w:tr>
        <w:tc>
          <w:tcPr>
            <w:tcW w:type="dxa" w:w="5083"/>
            <w:vAlign w:val="top"/>
          </w:tcPr>
          <w:p>
            <w:r>
              <w:t>V0.5</w:t>
            </w:r>
          </w:p>
        </w:tc>
        <w:tc>
          <w:tcPr>
            <w:tcW w:type="dxa" w:w="5083"/>
            <w:vAlign w:val="top"/>
          </w:tcPr>
          <w:p>
            <w:r>
              <w:t>Fork/remix lineage and local/cloud collections if usage justifies accounts.</w:t>
            </w:r>
          </w:p>
        </w:tc>
      </w:tr>
      <w:tr>
        <w:tc>
          <w:tcPr>
            <w:tcW w:type="dxa" w:w="5083"/>
            <w:vAlign w:val="top"/>
          </w:tcPr>
          <w:p>
            <w:r>
              <w:t>V1</w:t>
            </w:r>
          </w:p>
        </w:tc>
        <w:tc>
          <w:tcPr>
            <w:tcW w:type="dxa" w:w="5083"/>
            <w:vAlign w:val="top"/>
          </w:tcPr>
          <w:p>
            <w:r>
              <w:t>Multiple grammar packs, node editor for advanced users, richer provenance and educational mode.</w:t>
            </w:r>
          </w:p>
        </w:tc>
      </w:tr>
      <w:tr>
        <w:tc>
          <w:tcPr>
            <w:tcW w:type="dxa" w:w="5083"/>
            <w:vAlign w:val="top"/>
          </w:tcPr>
          <w:p>
            <w:r>
              <w:t>Exploration</w:t>
            </w:r>
          </w:p>
        </w:tc>
        <w:tc>
          <w:tcPr>
            <w:tcW w:type="dxa" w:w="5083"/>
            <w:vAlign w:val="top"/>
          </w:tcPr>
          <w:p>
            <w:r>
              <w:t>Physical pen plotting + hand finishing; exhibitions/prints only if artistic practice naturally develops.</w:t>
            </w:r>
          </w:p>
        </w:tc>
      </w:tr>
    </w:tbl>
    <w:p>
      <w:pPr>
        <w:pStyle w:val="Heading1"/>
      </w:pPr>
      <w:r>
        <w:t>24. Final product test</w:t>
      </w:r>
    </w:p>
    <w:p>
      <w:r>
        <w:rPr>
          <w:b/>
        </w:rPr>
        <w:t xml:space="preserve">JANTRA succeeds when </w:t>
      </w:r>
      <w:r>
        <w:t>a user can create something visually compelling, understand enough of the system to intentionally change it, export a clean vector that remains useful in another tool, and reproduce or remix the work later from its recipe.</w:t>
      </w:r>
    </w:p>
    <w:p>
      <w:pPr>
        <w:pStyle w:val="Quote"/>
      </w:pPr>
      <w:r>
        <w:t>The portfolio succeeds when the project demonstrates that Prabhakar can define an original 0→1 product, model a complex system, design AI interaction with appropriate boundaries, exercise visual judgment, prototype/build beyond Figma, and ship a useful artifact rather than a concept.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555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