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Section 12. Limitation of Liability and Sovereign Indemnity.</w:t>
      </w:r>
    </w:p>
    <w:p>
      <w:r>
        <w:t>Except for gross negligence or willful misconduct, neither party shall be liable for indirect, incidental, special, consequential, or punitive damages. The aggregate liability under this Master Services Agreement shall not exceed five million dollars ($5,000,000 USD).</w:t>
      </w:r>
    </w:p>
    <w:p>
      <w:r>
        <w:t>Section 13. Dispute Resolution and Governing Law.</w:t>
      </w:r>
    </w:p>
    <w:p>
      <w:r>
        <w:t>This Agreement shall be governed by and construed in accordance with the laws of the State of Delaware, without giving effect to any choice of law principles.</w:t>
      </w:r>
    </w:p>
  </w:body>
</w:document>
</file>