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Lumina Competitive Evaluation Report</w:t>
      </w:r>
    </w:p>
    <w:p>
      <w:r>
        <w:t>Generated: 2026-04-19 12:41:19</w:t>
      </w:r>
    </w:p>
    <w:p>
      <w:pPr>
        <w:pStyle w:val="Heading2"/>
      </w:pPr>
      <w:r>
        <w:t>Executive Summary</w:t>
      </w:r>
    </w:p>
    <w:p>
      <w:r>
        <w:t>Best overall variant: Lumina + PeCAR (overall=0.837, pedagogical=0.769, pass_rate=100.00%).</w:t>
      </w:r>
    </w:p>
    <w:p>
      <w:r>
        <w:t>Benchmark compares three application patterns: Existing Generic Tutor baseline, Existing Structured RAG baseline, and Lumina with PeCAR reasoning.</w:t>
      </w:r>
    </w:p>
    <w:p>
      <w:pPr>
        <w:pStyle w:val="Heading2"/>
      </w:pPr>
      <w:r>
        <w:t>Benchmark Setup</w:t>
      </w:r>
    </w:p>
    <w:p>
      <w:pPr>
        <w:pStyle w:val="ListBullet"/>
      </w:pPr>
      <w:r>
        <w:t>Same underlying model family across all variants to isolate orchestration effects.</w:t>
      </w:r>
    </w:p>
    <w:p>
      <w:pPr>
        <w:pStyle w:val="ListBullet"/>
      </w:pPr>
      <w:r>
        <w:t>Same benchmark scenarios and source context for each compared variant.</w:t>
      </w:r>
    </w:p>
    <w:p>
      <w:pPr>
        <w:pStyle w:val="ListBullet"/>
      </w:pPr>
      <w:r>
        <w:t>Evaluation uses the same semantic, pedagogical, and structural rubric.</w:t>
      </w:r>
    </w:p>
    <w:p>
      <w:pPr>
        <w:pStyle w:val="ListBullet"/>
      </w:pPr>
      <w:r>
        <w:t>Constraint checks include quality thresholds and latency threshold.</w:t>
      </w:r>
    </w:p>
    <w:p>
      <w:pPr>
        <w:pStyle w:val="Heading2"/>
      </w:pPr>
      <w:r>
        <w:t>Aggregate Comparison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Variant</w:t>
            </w:r>
          </w:p>
        </w:tc>
        <w:tc>
          <w:tcPr>
            <w:tcW w:type="dxa" w:w="1080"/>
          </w:tcPr>
          <w:p>
            <w:r>
              <w:t>N</w:t>
            </w:r>
          </w:p>
        </w:tc>
        <w:tc>
          <w:tcPr>
            <w:tcW w:type="dxa" w:w="1080"/>
          </w:tcPr>
          <w:p>
            <w:r>
              <w:t>Semantic</w:t>
            </w:r>
          </w:p>
        </w:tc>
        <w:tc>
          <w:tcPr>
            <w:tcW w:type="dxa" w:w="1080"/>
          </w:tcPr>
          <w:p>
            <w:r>
              <w:t>Pedagogical</w:t>
            </w:r>
          </w:p>
        </w:tc>
        <w:tc>
          <w:tcPr>
            <w:tcW w:type="dxa" w:w="1080"/>
          </w:tcPr>
          <w:p>
            <w:r>
              <w:t>Structural</w:t>
            </w:r>
          </w:p>
        </w:tc>
        <w:tc>
          <w:tcPr>
            <w:tcW w:type="dxa" w:w="1080"/>
          </w:tcPr>
          <w:p>
            <w:r>
              <w:t>Overall</w:t>
            </w:r>
          </w:p>
        </w:tc>
        <w:tc>
          <w:tcPr>
            <w:tcW w:type="dxa" w:w="1080"/>
          </w:tcPr>
          <w:p>
            <w:r>
              <w:t>Pass Rate</w:t>
            </w:r>
          </w:p>
        </w:tc>
        <w:tc>
          <w:tcPr>
            <w:tcW w:type="dxa" w:w="1080"/>
          </w:tcPr>
          <w:p>
            <w:r>
              <w:t>Latency(s)</w:t>
            </w:r>
          </w:p>
        </w:tc>
      </w:tr>
      <w:tr>
        <w:tc>
          <w:tcPr>
            <w:tcW w:type="dxa" w:w="1080"/>
          </w:tcPr>
          <w:p>
            <w:r>
              <w:t>Lumina + PeCAR</w:t>
            </w:r>
          </w:p>
        </w:tc>
        <w:tc>
          <w:tcPr>
            <w:tcW w:type="dxa" w:w="1080"/>
          </w:tcPr>
          <w:p>
            <w:r>
              <w:t>2</w:t>
            </w:r>
          </w:p>
        </w:tc>
        <w:tc>
          <w:tcPr>
            <w:tcW w:type="dxa" w:w="1080"/>
          </w:tcPr>
          <w:p>
            <w:r>
              <w:t>0.866</w:t>
            </w:r>
          </w:p>
        </w:tc>
        <w:tc>
          <w:tcPr>
            <w:tcW w:type="dxa" w:w="1080"/>
          </w:tcPr>
          <w:p>
            <w:r>
              <w:t>0.769</w:t>
            </w:r>
          </w:p>
        </w:tc>
        <w:tc>
          <w:tcPr>
            <w:tcW w:type="dxa" w:w="1080"/>
          </w:tcPr>
          <w:p>
            <w:r>
              <w:t>0.913</w:t>
            </w:r>
          </w:p>
        </w:tc>
        <w:tc>
          <w:tcPr>
            <w:tcW w:type="dxa" w:w="1080"/>
          </w:tcPr>
          <w:p>
            <w:r>
              <w:t>0.837</w:t>
            </w:r>
          </w:p>
        </w:tc>
        <w:tc>
          <w:tcPr>
            <w:tcW w:type="dxa" w:w="1080"/>
          </w:tcPr>
          <w:p>
            <w:r>
              <w:t>100.0%</w:t>
            </w:r>
          </w:p>
        </w:tc>
        <w:tc>
          <w:tcPr>
            <w:tcW w:type="dxa" w:w="1080"/>
          </w:tcPr>
          <w:p>
            <w:r>
              <w:t>65.37</w:t>
            </w:r>
          </w:p>
        </w:tc>
      </w:tr>
      <w:tr>
        <w:tc>
          <w:tcPr>
            <w:tcW w:type="dxa" w:w="1080"/>
          </w:tcPr>
          <w:p>
            <w:r>
              <w:t>Existing Structured RAG</w:t>
            </w:r>
          </w:p>
        </w:tc>
        <w:tc>
          <w:tcPr>
            <w:tcW w:type="dxa" w:w="1080"/>
          </w:tcPr>
          <w:p>
            <w:r>
              <w:t>2</w:t>
            </w:r>
          </w:p>
        </w:tc>
        <w:tc>
          <w:tcPr>
            <w:tcW w:type="dxa" w:w="1080"/>
          </w:tcPr>
          <w:p>
            <w:r>
              <w:t>0.769</w:t>
            </w:r>
          </w:p>
        </w:tc>
        <w:tc>
          <w:tcPr>
            <w:tcW w:type="dxa" w:w="1080"/>
          </w:tcPr>
          <w:p>
            <w:r>
              <w:t>0.643</w:t>
            </w:r>
          </w:p>
        </w:tc>
        <w:tc>
          <w:tcPr>
            <w:tcW w:type="dxa" w:w="1080"/>
          </w:tcPr>
          <w:p>
            <w:r>
              <w:t>0.846</w:t>
            </w:r>
          </w:p>
        </w:tc>
        <w:tc>
          <w:tcPr>
            <w:tcW w:type="dxa" w:w="1080"/>
          </w:tcPr>
          <w:p>
            <w:r>
              <w:t>0.734</w:t>
            </w:r>
          </w:p>
        </w:tc>
        <w:tc>
          <w:tcPr>
            <w:tcW w:type="dxa" w:w="1080"/>
          </w:tcPr>
          <w:p>
            <w:r>
              <w:t>0.0%</w:t>
            </w:r>
          </w:p>
        </w:tc>
        <w:tc>
          <w:tcPr>
            <w:tcW w:type="dxa" w:w="1080"/>
          </w:tcPr>
          <w:p>
            <w:r>
              <w:t>38.61</w:t>
            </w:r>
          </w:p>
        </w:tc>
      </w:tr>
      <w:tr>
        <w:tc>
          <w:tcPr>
            <w:tcW w:type="dxa" w:w="1080"/>
          </w:tcPr>
          <w:p>
            <w:r>
              <w:t>Existing Generic Tutor</w:t>
            </w:r>
          </w:p>
        </w:tc>
        <w:tc>
          <w:tcPr>
            <w:tcW w:type="dxa" w:w="1080"/>
          </w:tcPr>
          <w:p>
            <w:r>
              <w:t>2</w:t>
            </w:r>
          </w:p>
        </w:tc>
        <w:tc>
          <w:tcPr>
            <w:tcW w:type="dxa" w:w="1080"/>
          </w:tcPr>
          <w:p>
            <w:r>
              <w:t>0.797</w:t>
            </w:r>
          </w:p>
        </w:tc>
        <w:tc>
          <w:tcPr>
            <w:tcW w:type="dxa" w:w="1080"/>
          </w:tcPr>
          <w:p>
            <w:r>
              <w:t>0.407</w:t>
            </w:r>
          </w:p>
        </w:tc>
        <w:tc>
          <w:tcPr>
            <w:tcW w:type="dxa" w:w="1080"/>
          </w:tcPr>
          <w:p>
            <w:r>
              <w:t>0.787</w:t>
            </w:r>
          </w:p>
        </w:tc>
        <w:tc>
          <w:tcPr>
            <w:tcW w:type="dxa" w:w="1080"/>
          </w:tcPr>
          <w:p>
            <w:r>
              <w:t>0.639</w:t>
            </w:r>
          </w:p>
        </w:tc>
        <w:tc>
          <w:tcPr>
            <w:tcW w:type="dxa" w:w="1080"/>
          </w:tcPr>
          <w:p>
            <w:r>
              <w:t>0.0%</w:t>
            </w:r>
          </w:p>
        </w:tc>
        <w:tc>
          <w:tcPr>
            <w:tcW w:type="dxa" w:w="1080"/>
          </w:tcPr>
          <w:p>
            <w:r>
              <w:t>3.88</w:t>
            </w:r>
          </w:p>
        </w:tc>
      </w:tr>
    </w:tbl>
    <w:p>
      <w:pPr>
        <w:pStyle w:val="Heading2"/>
      </w:pPr>
      <w:r>
        <w:t>Detailed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Scenario</w:t>
            </w:r>
          </w:p>
        </w:tc>
        <w:tc>
          <w:tcPr>
            <w:tcW w:type="dxa" w:w="1234"/>
          </w:tcPr>
          <w:p>
            <w:r>
              <w:t>Variant</w:t>
            </w:r>
          </w:p>
        </w:tc>
        <w:tc>
          <w:tcPr>
            <w:tcW w:type="dxa" w:w="1234"/>
          </w:tcPr>
          <w:p>
            <w:r>
              <w:t>Semantic</w:t>
            </w:r>
          </w:p>
        </w:tc>
        <w:tc>
          <w:tcPr>
            <w:tcW w:type="dxa" w:w="1234"/>
          </w:tcPr>
          <w:p>
            <w:r>
              <w:t>Pedagogical</w:t>
            </w:r>
          </w:p>
        </w:tc>
        <w:tc>
          <w:tcPr>
            <w:tcW w:type="dxa" w:w="1234"/>
          </w:tcPr>
          <w:p>
            <w:r>
              <w:t>Structural</w:t>
            </w:r>
          </w:p>
        </w:tc>
        <w:tc>
          <w:tcPr>
            <w:tcW w:type="dxa" w:w="1234"/>
          </w:tcPr>
          <w:p>
            <w:r>
              <w:t>Overall</w:t>
            </w:r>
          </w:p>
        </w:tc>
        <w:tc>
          <w:tcPr>
            <w:tcW w:type="dxa" w:w="1234"/>
          </w:tcPr>
          <w:p>
            <w:r>
              <w:t>Latency(s)</w:t>
            </w:r>
          </w:p>
        </w:tc>
      </w:tr>
      <w:tr>
        <w:tc>
          <w:tcPr>
            <w:tcW w:type="dxa" w:w="1234"/>
          </w:tcPr>
          <w:p>
            <w:r>
              <w:t>Photosynthesis Foundations</w:t>
            </w:r>
          </w:p>
        </w:tc>
        <w:tc>
          <w:tcPr>
            <w:tcW w:type="dxa" w:w="1234"/>
          </w:tcPr>
          <w:p>
            <w:r>
              <w:t>Existing Generic Tutor</w:t>
            </w:r>
          </w:p>
        </w:tc>
        <w:tc>
          <w:tcPr>
            <w:tcW w:type="dxa" w:w="1234"/>
          </w:tcPr>
          <w:p>
            <w:r>
              <w:t>0.820</w:t>
            </w:r>
          </w:p>
        </w:tc>
        <w:tc>
          <w:tcPr>
            <w:tcW w:type="dxa" w:w="1234"/>
          </w:tcPr>
          <w:p>
            <w:r>
              <w:t>0.432</w:t>
            </w:r>
          </w:p>
        </w:tc>
        <w:tc>
          <w:tcPr>
            <w:tcW w:type="dxa" w:w="1234"/>
          </w:tcPr>
          <w:p>
            <w:r>
              <w:t>0.750</w:t>
            </w:r>
          </w:p>
        </w:tc>
        <w:tc>
          <w:tcPr>
            <w:tcW w:type="dxa" w:w="1234"/>
          </w:tcPr>
          <w:p>
            <w:r>
              <w:t>0.651</w:t>
            </w:r>
          </w:p>
        </w:tc>
        <w:tc>
          <w:tcPr>
            <w:tcW w:type="dxa" w:w="1234"/>
          </w:tcPr>
          <w:p>
            <w:r>
              <w:t>3.06</w:t>
            </w:r>
          </w:p>
        </w:tc>
      </w:tr>
      <w:tr>
        <w:tc>
          <w:tcPr>
            <w:tcW w:type="dxa" w:w="1234"/>
          </w:tcPr>
          <w:p>
            <w:r>
              <w:t>Photosynthesis Foundations</w:t>
            </w:r>
          </w:p>
        </w:tc>
        <w:tc>
          <w:tcPr>
            <w:tcW w:type="dxa" w:w="1234"/>
          </w:tcPr>
          <w:p>
            <w:r>
              <w:t>Existing Structured RAG</w:t>
            </w:r>
          </w:p>
        </w:tc>
        <w:tc>
          <w:tcPr>
            <w:tcW w:type="dxa" w:w="1234"/>
          </w:tcPr>
          <w:p>
            <w:r>
              <w:t>0.730</w:t>
            </w:r>
          </w:p>
        </w:tc>
        <w:tc>
          <w:tcPr>
            <w:tcW w:type="dxa" w:w="1234"/>
          </w:tcPr>
          <w:p>
            <w:r>
              <w:t>0.604</w:t>
            </w:r>
          </w:p>
        </w:tc>
        <w:tc>
          <w:tcPr>
            <w:tcW w:type="dxa" w:w="1234"/>
          </w:tcPr>
          <w:p>
            <w:r>
              <w:t>0.758</w:t>
            </w:r>
          </w:p>
        </w:tc>
        <w:tc>
          <w:tcPr>
            <w:tcW w:type="dxa" w:w="1234"/>
          </w:tcPr>
          <w:p>
            <w:r>
              <w:t>0.685</w:t>
            </w:r>
          </w:p>
        </w:tc>
        <w:tc>
          <w:tcPr>
            <w:tcW w:type="dxa" w:w="1234"/>
          </w:tcPr>
          <w:p>
            <w:r>
              <w:t>57.05</w:t>
            </w:r>
          </w:p>
        </w:tc>
      </w:tr>
      <w:tr>
        <w:tc>
          <w:tcPr>
            <w:tcW w:type="dxa" w:w="1234"/>
          </w:tcPr>
          <w:p>
            <w:r>
              <w:t>Photosynthesis Foundations</w:t>
            </w:r>
          </w:p>
        </w:tc>
        <w:tc>
          <w:tcPr>
            <w:tcW w:type="dxa" w:w="1234"/>
          </w:tcPr>
          <w:p>
            <w:r>
              <w:t>Lumina + PeCAR</w:t>
            </w:r>
          </w:p>
        </w:tc>
        <w:tc>
          <w:tcPr>
            <w:tcW w:type="dxa" w:w="1234"/>
          </w:tcPr>
          <w:p>
            <w:r>
              <w:t>0.847</w:t>
            </w:r>
          </w:p>
        </w:tc>
        <w:tc>
          <w:tcPr>
            <w:tcW w:type="dxa" w:w="1234"/>
          </w:tcPr>
          <w:p>
            <w:r>
              <w:t>0.809</w:t>
            </w:r>
          </w:p>
        </w:tc>
        <w:tc>
          <w:tcPr>
            <w:tcW w:type="dxa" w:w="1234"/>
          </w:tcPr>
          <w:p>
            <w:r>
              <w:t>0.892</w:t>
            </w:r>
          </w:p>
        </w:tc>
        <w:tc>
          <w:tcPr>
            <w:tcW w:type="dxa" w:w="1234"/>
          </w:tcPr>
          <w:p>
            <w:r>
              <w:t>0.841</w:t>
            </w:r>
          </w:p>
        </w:tc>
        <w:tc>
          <w:tcPr>
            <w:tcW w:type="dxa" w:w="1234"/>
          </w:tcPr>
          <w:p>
            <w:r>
              <w:t>65.21</w:t>
            </w:r>
          </w:p>
        </w:tc>
      </w:tr>
      <w:tr>
        <w:tc>
          <w:tcPr>
            <w:tcW w:type="dxa" w:w="1234"/>
          </w:tcPr>
          <w:p>
            <w:r>
              <w:t>Recursion Versus Iteration</w:t>
            </w:r>
          </w:p>
        </w:tc>
        <w:tc>
          <w:tcPr>
            <w:tcW w:type="dxa" w:w="1234"/>
          </w:tcPr>
          <w:p>
            <w:r>
              <w:t>Existing Generic Tutor</w:t>
            </w:r>
          </w:p>
        </w:tc>
        <w:tc>
          <w:tcPr>
            <w:tcW w:type="dxa" w:w="1234"/>
          </w:tcPr>
          <w:p>
            <w:r>
              <w:t>0.773</w:t>
            </w:r>
          </w:p>
        </w:tc>
        <w:tc>
          <w:tcPr>
            <w:tcW w:type="dxa" w:w="1234"/>
          </w:tcPr>
          <w:p>
            <w:r>
              <w:t>0.381</w:t>
            </w:r>
          </w:p>
        </w:tc>
        <w:tc>
          <w:tcPr>
            <w:tcW w:type="dxa" w:w="1234"/>
          </w:tcPr>
          <w:p>
            <w:r>
              <w:t>0.825</w:t>
            </w:r>
          </w:p>
        </w:tc>
        <w:tc>
          <w:tcPr>
            <w:tcW w:type="dxa" w:w="1234"/>
          </w:tcPr>
          <w:p>
            <w:r>
              <w:t>0.627</w:t>
            </w:r>
          </w:p>
        </w:tc>
        <w:tc>
          <w:tcPr>
            <w:tcW w:type="dxa" w:w="1234"/>
          </w:tcPr>
          <w:p>
            <w:r>
              <w:t>4.70</w:t>
            </w:r>
          </w:p>
        </w:tc>
      </w:tr>
      <w:tr>
        <w:tc>
          <w:tcPr>
            <w:tcW w:type="dxa" w:w="1234"/>
          </w:tcPr>
          <w:p>
            <w:r>
              <w:t>Recursion Versus Iteration</w:t>
            </w:r>
          </w:p>
        </w:tc>
        <w:tc>
          <w:tcPr>
            <w:tcW w:type="dxa" w:w="1234"/>
          </w:tcPr>
          <w:p>
            <w:r>
              <w:t>Existing Structured RAG</w:t>
            </w:r>
          </w:p>
        </w:tc>
        <w:tc>
          <w:tcPr>
            <w:tcW w:type="dxa" w:w="1234"/>
          </w:tcPr>
          <w:p>
            <w:r>
              <w:t>0.808</w:t>
            </w:r>
          </w:p>
        </w:tc>
        <w:tc>
          <w:tcPr>
            <w:tcW w:type="dxa" w:w="1234"/>
          </w:tcPr>
          <w:p>
            <w:r>
              <w:t>0.681</w:t>
            </w:r>
          </w:p>
        </w:tc>
        <w:tc>
          <w:tcPr>
            <w:tcW w:type="dxa" w:w="1234"/>
          </w:tcPr>
          <w:p>
            <w:r>
              <w:t>0.933</w:t>
            </w:r>
          </w:p>
        </w:tc>
        <w:tc>
          <w:tcPr>
            <w:tcW w:type="dxa" w:w="1234"/>
          </w:tcPr>
          <w:p>
            <w:r>
              <w:t>0.782</w:t>
            </w:r>
          </w:p>
        </w:tc>
        <w:tc>
          <w:tcPr>
            <w:tcW w:type="dxa" w:w="1234"/>
          </w:tcPr>
          <w:p>
            <w:r>
              <w:t>20.17</w:t>
            </w:r>
          </w:p>
        </w:tc>
      </w:tr>
      <w:tr>
        <w:tc>
          <w:tcPr>
            <w:tcW w:type="dxa" w:w="1234"/>
          </w:tcPr>
          <w:p>
            <w:r>
              <w:t>Recursion Versus Iteration</w:t>
            </w:r>
          </w:p>
        </w:tc>
        <w:tc>
          <w:tcPr>
            <w:tcW w:type="dxa" w:w="1234"/>
          </w:tcPr>
          <w:p>
            <w:r>
              <w:t>Lumina + PeCAR</w:t>
            </w:r>
          </w:p>
        </w:tc>
        <w:tc>
          <w:tcPr>
            <w:tcW w:type="dxa" w:w="1234"/>
          </w:tcPr>
          <w:p>
            <w:r>
              <w:t>0.886</w:t>
            </w:r>
          </w:p>
        </w:tc>
        <w:tc>
          <w:tcPr>
            <w:tcW w:type="dxa" w:w="1234"/>
          </w:tcPr>
          <w:p>
            <w:r>
              <w:t>0.728</w:t>
            </w:r>
          </w:p>
        </w:tc>
        <w:tc>
          <w:tcPr>
            <w:tcW w:type="dxa" w:w="1234"/>
          </w:tcPr>
          <w:p>
            <w:r>
              <w:t>0.933</w:t>
            </w:r>
          </w:p>
        </w:tc>
        <w:tc>
          <w:tcPr>
            <w:tcW w:type="dxa" w:w="1234"/>
          </w:tcPr>
          <w:p>
            <w:r>
              <w:t>0.832</w:t>
            </w:r>
          </w:p>
        </w:tc>
        <w:tc>
          <w:tcPr>
            <w:tcW w:type="dxa" w:w="1234"/>
          </w:tcPr>
          <w:p>
            <w:r>
              <w:t>65.54</w:t>
            </w:r>
          </w:p>
        </w:tc>
      </w:tr>
    </w:tbl>
    <w:p>
      <w:pPr>
        <w:pStyle w:val="Heading2"/>
      </w:pPr>
      <w:r>
        <w:t>Visual Comparison</w:t>
      </w:r>
    </w:p>
    <w:p>
      <w:r>
        <w:t>Educational quality metric profile</w:t>
      </w:r>
    </w:p>
    <w:p>
      <w:r>
        <w:drawing>
          <wp:inline xmlns:a="http://schemas.openxmlformats.org/drawingml/2006/main" xmlns:pic="http://schemas.openxmlformats.org/drawingml/2006/picture">
            <wp:extent cx="5943600" cy="2701636"/>
            <wp:docPr id="1" name="Picture 1"/>
            <wp:cNvGraphicFramePr>
              <a:graphicFrameLocks noChangeAspect="1"/>
            </wp:cNvGraphicFramePr>
            <a:graphic>
              <a:graphicData uri="http://schemas.openxmlformats.org/drawingml/2006/picture">
                <pic:pic>
                  <pic:nvPicPr>
                    <pic:cNvPr id="0" name="benchmark_metric_profile.png"/>
                    <pic:cNvPicPr/>
                  </pic:nvPicPr>
                  <pic:blipFill>
                    <a:blip r:embed="rId9"/>
                    <a:stretch>
                      <a:fillRect/>
                    </a:stretch>
                  </pic:blipFill>
                  <pic:spPr>
                    <a:xfrm>
                      <a:off x="0" y="0"/>
                      <a:ext cx="5943600" cy="2701636"/>
                    </a:xfrm>
                    <a:prstGeom prst="rect"/>
                  </pic:spPr>
                </pic:pic>
              </a:graphicData>
            </a:graphic>
          </wp:inline>
        </w:drawing>
      </w:r>
    </w:p>
    <w:p>
      <w:r>
        <w:t>Quality-latency frontier</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quality_latency_frontier.png"/>
                    <pic:cNvPicPr/>
                  </pic:nvPicPr>
                  <pic:blipFill>
                    <a:blip r:embed="rId10"/>
                    <a:stretch>
                      <a:fillRect/>
                    </a:stretch>
                  </pic:blipFill>
                  <pic:spPr>
                    <a:xfrm>
                      <a:off x="0" y="0"/>
                      <a:ext cx="5669280" cy="3543300"/>
                    </a:xfrm>
                    <a:prstGeom prst="rect"/>
                  </pic:spPr>
                </pic:pic>
              </a:graphicData>
            </a:graphic>
          </wp:inline>
        </w:drawing>
      </w:r>
    </w:p>
    <w:p>
      <w:r>
        <w:t>Constraint compliance</w:t>
      </w:r>
    </w:p>
    <w:p>
      <w:r>
        <w:drawing>
          <wp:inline xmlns:a="http://schemas.openxmlformats.org/drawingml/2006/main" xmlns:pic="http://schemas.openxmlformats.org/drawingml/2006/picture">
            <wp:extent cx="5669280" cy="2705793"/>
            <wp:docPr id="3" name="Picture 3"/>
            <wp:cNvGraphicFramePr>
              <a:graphicFrameLocks noChangeAspect="1"/>
            </wp:cNvGraphicFramePr>
            <a:graphic>
              <a:graphicData uri="http://schemas.openxmlformats.org/drawingml/2006/picture">
                <pic:pic>
                  <pic:nvPicPr>
                    <pic:cNvPr id="0" name="constraint_compliance.png"/>
                    <pic:cNvPicPr/>
                  </pic:nvPicPr>
                  <pic:blipFill>
                    <a:blip r:embed="rId11"/>
                    <a:stretch>
                      <a:fillRect/>
                    </a:stretch>
                  </pic:blipFill>
                  <pic:spPr>
                    <a:xfrm>
                      <a:off x="0" y="0"/>
                      <a:ext cx="5669280" cy="2705793"/>
                    </a:xfrm>
                    <a:prstGeom prst="rect"/>
                  </pic:spPr>
                </pic:pic>
              </a:graphicData>
            </a:graphic>
          </wp:inline>
        </w:drawing>
      </w:r>
    </w:p>
    <w:p>
      <w:pPr>
        <w:pStyle w:val="Heading2"/>
      </w:pPr>
      <w:r>
        <w:t>Interpretation</w:t>
      </w:r>
    </w:p>
    <w:p>
      <w:r>
        <w:t>This report demonstrates quality gains from PeCAR-enabled generation under the same evaluation rubric. Because all variants use the same underlying model family, the quality lift is attributable to orchestration, reasoning strategy, and pedagogical assembly rather than model replacement.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