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BDC0" w14:textId="377C725E" w:rsidR="00740CE1" w:rsidRPr="00740CE1" w:rsidRDefault="00740CE1" w:rsidP="00740CE1">
      <w:pPr>
        <w:rPr>
          <w:b/>
          <w:bCs/>
          <w:sz w:val="36"/>
          <w:szCs w:val="36"/>
        </w:rPr>
      </w:pPr>
      <w:r w:rsidRPr="00740CE1">
        <w:rPr>
          <w:b/>
          <w:bCs/>
          <w:sz w:val="36"/>
          <w:szCs w:val="36"/>
          <w:highlight w:val="yellow"/>
        </w:rPr>
        <w:t>OVERALL</w:t>
      </w:r>
    </w:p>
    <w:p w14:paraId="061BB5EA" w14:textId="3C7BAFE1" w:rsidR="00740CE1" w:rsidRPr="00740CE1" w:rsidRDefault="008C71D0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</w:t>
      </w:r>
      <w:r w:rsidR="00740CE1" w:rsidRPr="008C71D0">
        <w:rPr>
          <w:b/>
          <w:bCs/>
          <w:sz w:val="28"/>
          <w:szCs w:val="28"/>
        </w:rPr>
        <w:t>nsight 1</w:t>
      </w:r>
      <w:r w:rsidR="00740CE1" w:rsidRPr="00740CE1">
        <w:rPr>
          <w:sz w:val="28"/>
          <w:szCs w:val="28"/>
        </w:rPr>
        <w:t xml:space="preserve"> → Company is losing 16.12% employees annually which is significantly above the healthy benchmark of 10%</w:t>
      </w:r>
    </w:p>
    <w:p w14:paraId="701E8D80" w14:textId="77777777" w:rsidR="00740CE1" w:rsidRPr="00740CE1" w:rsidRDefault="00740CE1" w:rsidP="00740CE1">
      <w:pPr>
        <w:rPr>
          <w:sz w:val="28"/>
          <w:szCs w:val="28"/>
        </w:rPr>
      </w:pPr>
    </w:p>
    <w:p w14:paraId="5F2749E1" w14:textId="77777777" w:rsidR="00740CE1" w:rsidRPr="00740CE1" w:rsidRDefault="00740CE1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Insight 2</w:t>
      </w:r>
      <w:r w:rsidRPr="00740CE1">
        <w:rPr>
          <w:sz w:val="28"/>
          <w:szCs w:val="28"/>
        </w:rPr>
        <w:t xml:space="preserve"> → 237 out of 1470 employees left —</w:t>
      </w:r>
    </w:p>
    <w:p w14:paraId="014A299D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costing company approximately </w:t>
      </w:r>
    </w:p>
    <w:p w14:paraId="152B1C97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₹1,18,50,000 in replacement costs</w:t>
      </w:r>
    </w:p>
    <w:p w14:paraId="1D3AB9A0" w14:textId="31F49B4F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(237 × ₹50,000)</w:t>
      </w:r>
    </w:p>
    <w:p w14:paraId="0EB53567" w14:textId="77777777" w:rsidR="00740CE1" w:rsidRDefault="00740CE1" w:rsidP="00740CE1"/>
    <w:p w14:paraId="49EA6588" w14:textId="0AAE30E7" w:rsidR="00740CE1" w:rsidRDefault="00740CE1" w:rsidP="00740C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yellow"/>
        </w:rPr>
        <w:t>WHY?</w:t>
      </w:r>
    </w:p>
    <w:p w14:paraId="72E58214" w14:textId="77777777" w:rsidR="00740CE1" w:rsidRPr="00740CE1" w:rsidRDefault="00740CE1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Insight 3</w:t>
      </w:r>
      <w:r w:rsidRPr="00740CE1">
        <w:rPr>
          <w:sz w:val="28"/>
          <w:szCs w:val="28"/>
        </w:rPr>
        <w:t xml:space="preserve"> → Sales Representatives have highest </w:t>
      </w:r>
    </w:p>
    <w:p w14:paraId="69BC36C5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attrition at 39.76% — nearly 4 out </w:t>
      </w:r>
    </w:p>
    <w:p w14:paraId="748E06FE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of every 10 Sales Reps are leaving</w:t>
      </w:r>
    </w:p>
    <w:p w14:paraId="07AF3FE7" w14:textId="77777777" w:rsidR="00740CE1" w:rsidRPr="00740CE1" w:rsidRDefault="00740CE1" w:rsidP="00740CE1">
      <w:pPr>
        <w:rPr>
          <w:sz w:val="28"/>
          <w:szCs w:val="28"/>
        </w:rPr>
      </w:pPr>
    </w:p>
    <w:p w14:paraId="69333DAF" w14:textId="77777777" w:rsidR="00740CE1" w:rsidRPr="00740CE1" w:rsidRDefault="00740CE1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Insight 4</w:t>
      </w:r>
      <w:r w:rsidRPr="00740CE1">
        <w:rPr>
          <w:sz w:val="28"/>
          <w:szCs w:val="28"/>
        </w:rPr>
        <w:t xml:space="preserve"> → Sales Department leads attrition </w:t>
      </w:r>
    </w:p>
    <w:p w14:paraId="6DD24853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at 20.63% followed by HR at 19.05%</w:t>
      </w:r>
    </w:p>
    <w:p w14:paraId="372D8B9E" w14:textId="77777777" w:rsidR="00740CE1" w:rsidRPr="00740CE1" w:rsidRDefault="00740CE1" w:rsidP="00740CE1">
      <w:pPr>
        <w:rPr>
          <w:sz w:val="28"/>
          <w:szCs w:val="28"/>
        </w:rPr>
      </w:pPr>
    </w:p>
    <w:p w14:paraId="695202CA" w14:textId="77777777" w:rsidR="00740CE1" w:rsidRPr="00740CE1" w:rsidRDefault="00740CE1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Insight 5</w:t>
      </w:r>
      <w:r w:rsidRPr="00740CE1">
        <w:rPr>
          <w:sz w:val="28"/>
          <w:szCs w:val="28"/>
        </w:rPr>
        <w:t xml:space="preserve"> → Youngest employees (18-25) have </w:t>
      </w:r>
    </w:p>
    <w:p w14:paraId="0A41E9C9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34.78% attrition — early career </w:t>
      </w:r>
    </w:p>
    <w:p w14:paraId="4FED35B0" w14:textId="1DB274CD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dissatisfaction is a major concern</w:t>
      </w:r>
    </w:p>
    <w:p w14:paraId="52F681C8" w14:textId="2B7356B5" w:rsidR="00740CE1" w:rsidRDefault="00740CE1" w:rsidP="00740C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yellow"/>
        </w:rPr>
        <w:t>WHEN?</w:t>
      </w:r>
    </w:p>
    <w:p w14:paraId="1D474C15" w14:textId="77777777" w:rsidR="00740CE1" w:rsidRPr="00740CE1" w:rsidRDefault="00740CE1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Insight 6</w:t>
      </w:r>
      <w:r w:rsidRPr="00740CE1">
        <w:rPr>
          <w:sz w:val="28"/>
          <w:szCs w:val="28"/>
        </w:rPr>
        <w:t xml:space="preserve"> → Overtime is the strongest attrition </w:t>
      </w:r>
    </w:p>
    <w:p w14:paraId="533E854A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driver — employees doing overtime </w:t>
      </w:r>
    </w:p>
    <w:p w14:paraId="208C428C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have 3x higher attrition (30.53%) </w:t>
      </w:r>
    </w:p>
    <w:p w14:paraId="3FE1C675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vs those who don't (10.44%)</w:t>
      </w:r>
    </w:p>
    <w:p w14:paraId="538748ED" w14:textId="77777777" w:rsidR="00740CE1" w:rsidRPr="00740CE1" w:rsidRDefault="00740CE1" w:rsidP="00740CE1">
      <w:pPr>
        <w:rPr>
          <w:sz w:val="28"/>
          <w:szCs w:val="28"/>
        </w:rPr>
      </w:pPr>
    </w:p>
    <w:p w14:paraId="08057E73" w14:textId="77777777" w:rsidR="00740CE1" w:rsidRPr="00740CE1" w:rsidRDefault="00740CE1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Insight 7</w:t>
      </w:r>
      <w:r w:rsidRPr="00740CE1">
        <w:rPr>
          <w:sz w:val="28"/>
          <w:szCs w:val="28"/>
        </w:rPr>
        <w:t xml:space="preserve"> → Employees with bad work life balance </w:t>
      </w:r>
    </w:p>
    <w:p w14:paraId="55D0A6CA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have 31.25% attrition — highest </w:t>
      </w:r>
    </w:p>
    <w:p w14:paraId="409B893F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among all WLB levels</w:t>
      </w:r>
    </w:p>
    <w:p w14:paraId="29ED0503" w14:textId="77777777" w:rsidR="00740CE1" w:rsidRPr="00740CE1" w:rsidRDefault="00740CE1" w:rsidP="00740CE1">
      <w:pPr>
        <w:rPr>
          <w:sz w:val="28"/>
          <w:szCs w:val="28"/>
        </w:rPr>
      </w:pPr>
    </w:p>
    <w:p w14:paraId="04E616BD" w14:textId="77777777" w:rsidR="00740CE1" w:rsidRPr="00740CE1" w:rsidRDefault="00740CE1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Insight 8</w:t>
      </w:r>
      <w:r w:rsidRPr="00740CE1">
        <w:rPr>
          <w:sz w:val="28"/>
          <w:szCs w:val="28"/>
        </w:rPr>
        <w:t xml:space="preserve"> → Employees who left earned ₹4,787 </w:t>
      </w:r>
    </w:p>
    <w:p w14:paraId="0A03118D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avg monthly income vs ₹6,832 for </w:t>
      </w:r>
    </w:p>
    <w:p w14:paraId="32C50D3D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those who stayed — ₹2,045 gap!</w:t>
      </w:r>
    </w:p>
    <w:p w14:paraId="4C99ADC8" w14:textId="77777777" w:rsidR="00740CE1" w:rsidRPr="00740CE1" w:rsidRDefault="00740CE1" w:rsidP="00740CE1">
      <w:pPr>
        <w:rPr>
          <w:sz w:val="28"/>
          <w:szCs w:val="28"/>
        </w:rPr>
      </w:pPr>
    </w:p>
    <w:p w14:paraId="3EACBC94" w14:textId="77777777" w:rsidR="00740CE1" w:rsidRPr="00740CE1" w:rsidRDefault="00740CE1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Insight 9</w:t>
      </w:r>
      <w:r w:rsidRPr="00740CE1">
        <w:rPr>
          <w:sz w:val="28"/>
          <w:szCs w:val="28"/>
        </w:rPr>
        <w:t xml:space="preserve"> → Employees with no stock options </w:t>
      </w:r>
    </w:p>
    <w:p w14:paraId="03CB5B54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have 24.41% attrition vs only </w:t>
      </w:r>
    </w:p>
    <w:p w14:paraId="2B7B45A9" w14:textId="77777777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7.59% for medium stock option holders</w:t>
      </w:r>
    </w:p>
    <w:p w14:paraId="332C3B50" w14:textId="77777777" w:rsidR="00740CE1" w:rsidRPr="00740CE1" w:rsidRDefault="00740CE1" w:rsidP="00740CE1">
      <w:pPr>
        <w:rPr>
          <w:sz w:val="28"/>
          <w:szCs w:val="28"/>
        </w:rPr>
      </w:pPr>
    </w:p>
    <w:p w14:paraId="42EC3A83" w14:textId="77777777" w:rsidR="00740CE1" w:rsidRPr="00740CE1" w:rsidRDefault="00740CE1" w:rsidP="00740CE1">
      <w:pPr>
        <w:rPr>
          <w:sz w:val="28"/>
          <w:szCs w:val="28"/>
        </w:rPr>
      </w:pPr>
      <w:r w:rsidRPr="008C71D0">
        <w:rPr>
          <w:b/>
          <w:bCs/>
          <w:sz w:val="28"/>
          <w:szCs w:val="28"/>
        </w:rPr>
        <w:t>Insight 10</w:t>
      </w:r>
      <w:r w:rsidRPr="00740CE1">
        <w:rPr>
          <w:sz w:val="28"/>
          <w:szCs w:val="28"/>
        </w:rPr>
        <w:t xml:space="preserve"> → Low environment satisfaction </w:t>
      </w:r>
    </w:p>
    <w:p w14:paraId="7B8D943E" w14:textId="172517B6" w:rsidR="00740CE1" w:rsidRPr="00740CE1" w:rsidRDefault="00740CE1" w:rsidP="00740CE1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 leads to 25.35% attrition — almost double of high satisfaction</w:t>
      </w:r>
    </w:p>
    <w:p w14:paraId="02243B0F" w14:textId="70171930" w:rsidR="00740CE1" w:rsidRPr="008C71D0" w:rsidRDefault="00740CE1" w:rsidP="008C71D0">
      <w:pPr>
        <w:rPr>
          <w:sz w:val="28"/>
          <w:szCs w:val="28"/>
        </w:rPr>
      </w:pPr>
      <w:r w:rsidRPr="00740CE1">
        <w:rPr>
          <w:sz w:val="28"/>
          <w:szCs w:val="28"/>
        </w:rPr>
        <w:t xml:space="preserve">             </w:t>
      </w:r>
    </w:p>
    <w:sectPr w:rsidR="00740CE1" w:rsidRPr="008C71D0" w:rsidSect="00740CE1">
      <w:pgSz w:w="11906" w:h="16838"/>
      <w:pgMar w:top="720" w:right="720" w:bottom="720" w:left="720" w:header="708" w:footer="708" w:gutter="0"/>
      <w:pgBorders w:offsetFrom="page">
        <w:top w:val="single" w:sz="24" w:space="24" w:color="000000" w:themeColor="text1"/>
        <w:left w:val="single" w:sz="24" w:space="24" w:color="000000" w:themeColor="text1"/>
        <w:bottom w:val="single" w:sz="24" w:space="24" w:color="000000" w:themeColor="text1"/>
        <w:right w:val="single" w:sz="2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E1"/>
    <w:rsid w:val="00604D61"/>
    <w:rsid w:val="007001E8"/>
    <w:rsid w:val="00740CE1"/>
    <w:rsid w:val="008C71D0"/>
    <w:rsid w:val="00A84B06"/>
    <w:rsid w:val="00A914AD"/>
    <w:rsid w:val="00CF2757"/>
    <w:rsid w:val="00FB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6A7B"/>
  <w15:chartTrackingRefBased/>
  <w15:docId w15:val="{8199D4CE-F4C4-4369-A968-D237D152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B06"/>
    <w:pPr>
      <w:spacing w:after="17"/>
      <w:ind w:left="111" w:hanging="10"/>
    </w:pPr>
    <w:rPr>
      <w:rFonts w:ascii="Times New Roman" w:hAnsi="Times New Roman"/>
      <w:color w:val="000000"/>
      <w:sz w:val="24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A84B06"/>
    <w:pPr>
      <w:keepNext/>
      <w:keepLines/>
      <w:spacing w:after="4"/>
      <w:ind w:left="111" w:hanging="10"/>
      <w:outlineLvl w:val="0"/>
    </w:pPr>
    <w:rPr>
      <w:rFonts w:ascii="Times New Roman" w:eastAsia="Times New Roman" w:hAnsi="Times New Roman" w:cs="Times New Roman"/>
      <w:b/>
      <w:color w:val="000000"/>
      <w:sz w:val="4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C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C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C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C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C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C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C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06"/>
    <w:rPr>
      <w:rFonts w:ascii="Times New Roman" w:eastAsia="Times New Roman" w:hAnsi="Times New Roman" w:cs="Times New Roman"/>
      <w:b/>
      <w:color w:val="000000"/>
      <w:sz w:val="4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06"/>
    <w:rPr>
      <w:rFonts w:asciiTheme="majorHAnsi" w:eastAsiaTheme="majorEastAsia" w:hAnsiTheme="majorHAnsi" w:cstheme="majorBidi"/>
      <w:color w:val="2F5496" w:themeColor="accent1" w:themeShade="BF"/>
      <w:sz w:val="26"/>
      <w:szCs w:val="23"/>
      <w:lang w:eastAsia="en-IN"/>
    </w:rPr>
  </w:style>
  <w:style w:type="paragraph" w:styleId="ListParagraph">
    <w:name w:val="List Paragraph"/>
    <w:basedOn w:val="Normal"/>
    <w:uiPriority w:val="34"/>
    <w:qFormat/>
    <w:rsid w:val="00A84B06"/>
    <w:pPr>
      <w:ind w:left="720"/>
      <w:contextualSpacing/>
    </w:pPr>
    <w:rPr>
      <w:rFonts w:eastAsia="Times New Roman" w:cs="Mang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CE1"/>
    <w:rPr>
      <w:rFonts w:eastAsiaTheme="majorEastAsia" w:cstheme="majorBidi"/>
      <w:color w:val="2F5496" w:themeColor="accent1" w:themeShade="BF"/>
      <w:sz w:val="28"/>
      <w:szCs w:val="25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CE1"/>
    <w:rPr>
      <w:rFonts w:eastAsiaTheme="majorEastAsia" w:cstheme="majorBidi"/>
      <w:i/>
      <w:iCs/>
      <w:color w:val="2F5496" w:themeColor="accent1" w:themeShade="BF"/>
      <w:sz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CE1"/>
    <w:rPr>
      <w:rFonts w:eastAsiaTheme="majorEastAsia" w:cstheme="majorBidi"/>
      <w:color w:val="2F5496" w:themeColor="accent1" w:themeShade="BF"/>
      <w:sz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CE1"/>
    <w:rPr>
      <w:rFonts w:eastAsiaTheme="majorEastAsia" w:cstheme="majorBidi"/>
      <w:i/>
      <w:iCs/>
      <w:color w:val="595959" w:themeColor="text1" w:themeTint="A6"/>
      <w:sz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CE1"/>
    <w:rPr>
      <w:rFonts w:eastAsiaTheme="majorEastAsia" w:cstheme="majorBidi"/>
      <w:color w:val="595959" w:themeColor="text1" w:themeTint="A6"/>
      <w:sz w:val="24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CE1"/>
    <w:rPr>
      <w:rFonts w:eastAsiaTheme="majorEastAsia" w:cstheme="majorBidi"/>
      <w:i/>
      <w:iCs/>
      <w:color w:val="272727" w:themeColor="text1" w:themeTint="D8"/>
      <w:sz w:val="24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CE1"/>
    <w:rPr>
      <w:rFonts w:eastAsiaTheme="majorEastAsia" w:cstheme="majorBidi"/>
      <w:color w:val="272727" w:themeColor="text1" w:themeTint="D8"/>
      <w:sz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740CE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0CE1"/>
    <w:rPr>
      <w:rFonts w:asciiTheme="majorHAnsi" w:eastAsiaTheme="majorEastAsia" w:hAnsiTheme="majorHAnsi" w:cstheme="majorBidi"/>
      <w:spacing w:val="-10"/>
      <w:kern w:val="28"/>
      <w:sz w:val="56"/>
      <w:szCs w:val="50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CE1"/>
    <w:pPr>
      <w:numPr>
        <w:ilvl w:val="1"/>
      </w:numPr>
      <w:spacing w:after="160"/>
      <w:ind w:left="111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0CE1"/>
    <w:rPr>
      <w:rFonts w:eastAsiaTheme="majorEastAsia" w:cstheme="majorBidi"/>
      <w:color w:val="595959" w:themeColor="text1" w:themeTint="A6"/>
      <w:spacing w:val="15"/>
      <w:sz w:val="28"/>
      <w:szCs w:val="25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740C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CE1"/>
    <w:rPr>
      <w:rFonts w:ascii="Times New Roman" w:hAnsi="Times New Roman"/>
      <w:i/>
      <w:iCs/>
      <w:color w:val="404040" w:themeColor="text1" w:themeTint="BF"/>
      <w:sz w:val="24"/>
      <w:lang w:eastAsia="en-IN"/>
    </w:rPr>
  </w:style>
  <w:style w:type="character" w:styleId="IntenseEmphasis">
    <w:name w:val="Intense Emphasis"/>
    <w:basedOn w:val="DefaultParagraphFont"/>
    <w:uiPriority w:val="21"/>
    <w:qFormat/>
    <w:rsid w:val="0074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CE1"/>
    <w:rPr>
      <w:rFonts w:ascii="Times New Roman" w:hAnsi="Times New Roman"/>
      <w:i/>
      <w:iCs/>
      <w:color w:val="2F5496" w:themeColor="accent1" w:themeShade="BF"/>
      <w:sz w:val="24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74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kumar</dc:creator>
  <cp:keywords/>
  <dc:description/>
  <cp:lastModifiedBy>Prabhat kumar</cp:lastModifiedBy>
  <cp:revision>2</cp:revision>
  <dcterms:created xsi:type="dcterms:W3CDTF">2026-05-20T09:31:00Z</dcterms:created>
  <dcterms:modified xsi:type="dcterms:W3CDTF">2026-06-04T05:43:00Z</dcterms:modified>
</cp:coreProperties>
</file>