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ISO 27001 Policy Descriptions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Information Security Policy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**Purpose:**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Establishes the organization’s commitment to managing and protecting information assets. It outlines the objectives, scope, and guiding principles of the ISMS.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**Contents:**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security objectives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Leadership commitment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 and responsibilities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 improvement approach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2. Access Control Policy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**Purpose:**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Defines how access to information and systems is granted, monitored, and revoked to ensure that only authorized users have access to necessary resources.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**Contents:**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access management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Privileged access control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authentication methods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 access rules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3. Asset Management Policy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**Purpose:**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Ensures all information assets are identified, classified, and properly protected throughout their lifecycle.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**Contents:**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 inventory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Ownership assignment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 handling procedures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 levels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