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oura-ring-4-produktspezifikation"/>
    <w:p>
      <w:pPr>
        <w:pStyle w:val="Heading1"/>
      </w:pPr>
      <w:r>
        <w:t xml:space="preserve">Oura Ring 4 — Produktspezifikation</w:t>
      </w:r>
    </w:p>
    <w:p>
      <w:pPr>
        <w:pStyle w:val="FirstParagraph"/>
      </w:pPr>
      <w:r>
        <w:rPr>
          <w:b/>
          <w:bCs/>
        </w:rPr>
        <w:t xml:space="preserve">Quelle:</w:t>
      </w:r>
      <w:r>
        <w:t xml:space="preserve"> </w:t>
      </w:r>
      <w:r>
        <w:t xml:space="preserve">Oura Ring Offizieller Shop (ouraring.com)</w:t>
      </w:r>
      <w:r>
        <w:t xml:space="preserve"> </w:t>
      </w:r>
      <w:r>
        <w:rPr>
          <w:b/>
          <w:bCs/>
        </w:rPr>
        <w:t xml:space="preserve">Produkt:</w:t>
      </w:r>
      <w:r>
        <w:t xml:space="preserve"> </w:t>
      </w:r>
      <w:r>
        <w:t xml:space="preserve">Oura Ring 4</w:t>
      </w:r>
      <w:r>
        <w:t xml:space="preserve"> </w:t>
      </w:r>
      <w:r>
        <w:rPr>
          <w:b/>
          <w:bCs/>
        </w:rPr>
        <w:t xml:space="preserve">Sprache:</w:t>
      </w:r>
      <w:r>
        <w:t xml:space="preserve"> </w:t>
      </w:r>
      <w:r>
        <w:t xml:space="preserve">Deutsch</w:t>
      </w:r>
      <w:r>
        <w:t xml:space="preserve"> </w:t>
      </w:r>
      <w:r>
        <w:rPr>
          <w:b/>
          <w:bCs/>
        </w:rPr>
        <w:t xml:space="preserve">Scraped:</w:t>
      </w:r>
      <w:r>
        <w:t xml:space="preserve"> </w:t>
      </w:r>
      <w:r>
        <w:t xml:space="preserve">2026-03-26</w:t>
      </w:r>
    </w:p>
    <w:p>
      <w:r>
        <w:pict>
          <v:rect style="width:0;height:1.5pt" o:hralign="center" o:hrstd="t" o:hr="t"/>
        </w:pict>
      </w:r>
    </w:p>
    <w:bookmarkStart w:id="10" w:name="produktbeschreibung"/>
    <w:p>
      <w:pPr>
        <w:pStyle w:val="Heading2"/>
      </w:pPr>
      <w:r>
        <w:t xml:space="preserve">Produktbeschreibung</w:t>
      </w:r>
    </w:p>
    <w:p>
      <w:pPr>
        <w:pStyle w:val="FirstParagraph"/>
      </w:pPr>
      <w:r>
        <w:t xml:space="preserve">Der bisher persönlichste Smart-Ring von Oura</w:t>
      </w:r>
    </w:p>
    <w:p>
      <w:pPr>
        <w:pStyle w:val="BodyText"/>
      </w:pPr>
      <w:r>
        <w:t xml:space="preserve">Oura Ring 4 ist die neueste Version des revolutionären Smart-Rings, der entwickelt wurde, damit du in mehr Einklang mit deiner Gesundheit kommst. Eine neue Dimension beispiellos genauer Daten und höchster Komfort unterstützen dich dabei, ein detailliertes Bild deiner Gesundheit zu erhalten.</w:t>
      </w:r>
    </w:p>
    <w:p>
      <w:pPr>
        <w:pStyle w:val="BodyText"/>
      </w:pPr>
      <w:r>
        <w:t xml:space="preserve">Oura Ring 4 basiert auf einer bahnbrechenden Sensortechnologie, Smart Sensing, die sich deinem Finger anpasst und genaue, kontinuierliche Daten liefert, Tag und Nacht.</w:t>
      </w:r>
    </w:p>
    <w:p>
      <w:pPr>
        <w:pStyle w:val="BodyText"/>
      </w:pPr>
      <w:r>
        <w:t xml:space="preserve">Der Oura Ring 4 ist ein Präzisionsprodukt von hoher Qualität, das dir wertvolle Einblicke in deine ganzheitliche Gesundheit verschafft – mit Informationen zu Schlaf, Aktivität, Stress, Herzgesundheit, Zyklus und mehr.</w:t>
      </w:r>
    </w:p>
    <w:bookmarkStart w:id="9" w:name="verfügbarkeit"/>
    <w:p>
      <w:pPr>
        <w:pStyle w:val="Heading3"/>
      </w:pPr>
      <w:r>
        <w:t xml:space="preserve">Verfügbarkeit</w:t>
      </w:r>
    </w:p>
    <w:p>
      <w:pPr>
        <w:pStyle w:val="FirstParagraph"/>
      </w:pPr>
      <w:r>
        <w:t xml:space="preserve">Oura Ring 4 ist über den Oura-Webshop und verschiedene autorisierte Händler erhältlich.</w:t>
      </w:r>
    </w:p>
    <w:p>
      <w:pPr>
        <w:pStyle w:val="BodyText"/>
      </w:pPr>
      <w:r>
        <w:rPr>
          <w:b/>
          <w:bCs/>
        </w:rPr>
        <w:t xml:space="preserve">Oura Ring 4 Ceramic:</w:t>
      </w:r>
      <w:r>
        <w:t xml:space="preserve"> </w:t>
      </w:r>
      <w:r>
        <w:t xml:space="preserve">Alle Farben (Midnight, Cloud, Petal und Tide) sind im Oura Webshop und bei Best Buy US sowie Best Buy Canada erhältlich. Cloud, Petal und Tide sind bei verschiedenen autorisierten Händlern erhältlich.</w:t>
      </w:r>
    </w:p>
    <w:p>
      <w:r>
        <w:pict>
          <v:rect style="width:0;height:1.5pt" o:hralign="center" o:hrstd="t" o:hr="t"/>
        </w:pict>
      </w:r>
    </w:p>
    <w:bookmarkEnd w:id="9"/>
    <w:bookmarkEnd w:id="10"/>
    <w:bookmarkStart w:id="14" w:name="hardware"/>
    <w:p>
      <w:pPr>
        <w:pStyle w:val="Heading2"/>
      </w:pPr>
      <w:r>
        <w:t xml:space="preserve">Hardware</w:t>
      </w:r>
    </w:p>
    <w:bookmarkStart w:id="11" w:name="oura-ring-4"/>
    <w:p>
      <w:pPr>
        <w:pStyle w:val="Heading3"/>
      </w:pPr>
      <w:r>
        <w:t xml:space="preserve">Oura Ring 4</w:t>
      </w:r>
    </w:p>
    <w:p>
      <w:pPr>
        <w:pStyle w:val="FirstParagraph"/>
      </w:pPr>
      <w:r>
        <w:t xml:space="preserve">Oura Ring 4 ist vollständig aus Titan und mit vertieften Sensoren im Inneren ausgestattet, die sowohl die Haltbarkeit als auch die Tragbarkeit verbessern. Oura Ring 4 ist in sechs Ausführungen erhältlich: Black, Silver, Stealth, Brushed Silver, Gold und Rose Gold.</w:t>
      </w:r>
    </w:p>
    <w:bookmarkEnd w:id="11"/>
    <w:bookmarkStart w:id="12" w:name="oura-ring-4-ceramic"/>
    <w:p>
      <w:pPr>
        <w:pStyle w:val="Heading3"/>
      </w:pPr>
      <w:r>
        <w:t xml:space="preserve">Oura Ring 4 Ceramic</w:t>
      </w:r>
    </w:p>
    <w:p>
      <w:pPr>
        <w:pStyle w:val="FirstParagraph"/>
      </w:pPr>
      <w:r>
        <w:t xml:space="preserve">Oura Ring 4 Ceramic besteht aus leistungsstarker Zirkonoxidkeramik, einem Premiummaterial, das aufgrund seiner Widerstandsfähigkeit, seines Glanzes und seiner Farbe ausgewählt wurde. Jeder Oura Ring 4 Ceramic ist in vier Farben erhältlich: Midnight, Cloud, Petal und Tide.</w:t>
      </w:r>
    </w:p>
    <w:bookmarkEnd w:id="12"/>
    <w:bookmarkStart w:id="13" w:name="größen"/>
    <w:p>
      <w:pPr>
        <w:pStyle w:val="Heading3"/>
      </w:pPr>
      <w:r>
        <w:t xml:space="preserve">Größen</w:t>
      </w:r>
    </w:p>
    <w:p>
      <w:pPr>
        <w:pStyle w:val="FirstParagraph"/>
      </w:pPr>
      <w:r>
        <w:t xml:space="preserve">Alle Modelle vom Oura Ring 4 sind in den Größen 4–15 erhältlich.</w:t>
      </w:r>
    </w:p>
    <w:p>
      <w:pPr>
        <w:pStyle w:val="BodyText"/>
      </w:pPr>
      <w:r>
        <w:t xml:space="preserve">Die Größen von Oura Ring 4 sind etwas anders als die von Oura Ring Gen3. Achte darauf, dass du das richtige Größenprobier-Set für den perfekten Sitz verwendest:</w:t>
      </w:r>
    </w:p>
    <w:p>
      <w:pPr>
        <w:pStyle w:val="Compact"/>
        <w:numPr>
          <w:ilvl w:val="0"/>
          <w:numId w:val="1001"/>
        </w:numPr>
      </w:pPr>
      <w:r>
        <w:rPr>
          <w:b/>
          <w:bCs/>
        </w:rPr>
        <w:t xml:space="preserve">Oura Ring 4 Größenprobier-Set:</w:t>
      </w:r>
      <w:r>
        <w:t xml:space="preserve"> </w:t>
      </w:r>
      <w:r>
        <w:t xml:space="preserve">weiße Ringgrößenermittler, Größen 4–15</w:t>
      </w:r>
    </w:p>
    <w:p>
      <w:pPr>
        <w:pStyle w:val="Compact"/>
        <w:numPr>
          <w:ilvl w:val="0"/>
          <w:numId w:val="1001"/>
        </w:numPr>
      </w:pPr>
      <w:r>
        <w:rPr>
          <w:b/>
          <w:bCs/>
        </w:rPr>
        <w:t xml:space="preserve">Oura Ring Gen3 Größenprobier-Set:</w:t>
      </w:r>
      <w:r>
        <w:t xml:space="preserve"> </w:t>
      </w:r>
      <w:r>
        <w:t xml:space="preserve">schwarze Ringgrößenermittler, Größen 6–13</w:t>
      </w:r>
    </w:p>
    <w:p>
      <w:pPr>
        <w:pStyle w:val="FirstParagraph"/>
      </w:pPr>
      <w:r>
        <w:t xml:space="preserve">Trage deinen Ring so, dass sich die Sensoren an der Innenseite deines Fingers befinden, um einen optimalen Sitz und genaueste Messwerte zu erzielen.</w:t>
      </w:r>
    </w:p>
    <w:p>
      <w:r>
        <w:pict>
          <v:rect style="width:0;height:1.5pt" o:hralign="center" o:hrstd="t" o:hr="t"/>
        </w:pict>
      </w:r>
    </w:p>
    <w:bookmarkEnd w:id="13"/>
    <w:bookmarkEnd w:id="14"/>
    <w:bookmarkStart w:id="18" w:name="schlüsselmerkmale"/>
    <w:p>
      <w:pPr>
        <w:pStyle w:val="Heading2"/>
      </w:pPr>
      <w:r>
        <w:t xml:space="preserve">Schlüsselmerkmale</w:t>
      </w:r>
    </w:p>
    <w:bookmarkStart w:id="15" w:name="verbesserte-genauigkeit-smart-sensing"/>
    <w:p>
      <w:pPr>
        <w:pStyle w:val="Heading3"/>
      </w:pPr>
      <w:r>
        <w:t xml:space="preserve">Verbesserte Genauigkeit (Smart Sensing)</w:t>
      </w:r>
    </w:p>
    <w:p>
      <w:pPr>
        <w:pStyle w:val="FirstParagraph"/>
      </w:pPr>
      <w:r>
        <w:t xml:space="preserve">Smart Sensing ist eine Sensing-Plattform, die entwickelt wurde, damit du ein möglichst vollständiges Bild deiner Gesundheit erhältst. Die Sensoren arbeiten mit einem Algorithmus, der sich an die einzigartige Struktur und den Hautton deines Fingers und deine aktuellen Aktivitäten anpasst. So liefert er kontinuierlich genaueste Daten – Tag und Nacht – und das alles bei optimierter Akkulaufzeit.</w:t>
      </w:r>
    </w:p>
    <w:bookmarkEnd w:id="15"/>
    <w:bookmarkStart w:id="16" w:name="komfort-und-material"/>
    <w:p>
      <w:pPr>
        <w:pStyle w:val="Heading3"/>
      </w:pPr>
      <w:r>
        <w:t xml:space="preserve">Komfort und Material</w:t>
      </w:r>
    </w:p>
    <w:p>
      <w:pPr>
        <w:pStyle w:val="Compact"/>
        <w:numPr>
          <w:ilvl w:val="0"/>
          <w:numId w:val="1002"/>
        </w:numPr>
      </w:pPr>
      <w:r>
        <w:t xml:space="preserve">Vollständig runde Innenseite mit Sensorvertiefungen (diskrete Sensoren)</w:t>
      </w:r>
    </w:p>
    <w:p>
      <w:pPr>
        <w:pStyle w:val="Compact"/>
        <w:numPr>
          <w:ilvl w:val="0"/>
          <w:numId w:val="1002"/>
        </w:numPr>
      </w:pPr>
      <w:r>
        <w:t xml:space="preserve">Antiallergenes Material – angenehm und bequem zu tragen, sogar auf empfindlicher Haut</w:t>
      </w:r>
    </w:p>
    <w:p>
      <w:pPr>
        <w:pStyle w:val="Compact"/>
        <w:numPr>
          <w:ilvl w:val="0"/>
          <w:numId w:val="1002"/>
        </w:numPr>
      </w:pPr>
      <w:r>
        <w:t xml:space="preserve">Nicht-allergener Innenring aus Titan (BPA-freie Innenoberfläche mit medizinischer Einstufung)</w:t>
      </w:r>
    </w:p>
    <w:bookmarkEnd w:id="16"/>
    <w:bookmarkStart w:id="17" w:name="akkulaufzeit"/>
    <w:p>
      <w:pPr>
        <w:pStyle w:val="Heading3"/>
      </w:pPr>
      <w:r>
        <w:t xml:space="preserve">Akkulaufzeit</w:t>
      </w:r>
    </w:p>
    <w:p>
      <w:pPr>
        <w:pStyle w:val="FirstParagraph"/>
      </w:pPr>
      <w:r>
        <w:t xml:space="preserve">Je nach Ringgröße und Lebensstil hält die Akkulaufzeit des Oura Ring 4 zwischen 5 und 8 Tage – kein ständiges Aufladen nötig.</w:t>
      </w:r>
    </w:p>
    <w:p>
      <w:r>
        <w:pict>
          <v:rect style="width:0;height:1.5pt" o:hralign="center" o:hrstd="t" o:hr="t"/>
        </w:pict>
      </w:r>
    </w:p>
    <w:bookmarkEnd w:id="17"/>
    <w:bookmarkEnd w:id="18"/>
    <w:bookmarkStart w:id="27" w:name="gesundheits-tracking-funktionen"/>
    <w:p>
      <w:pPr>
        <w:pStyle w:val="Heading2"/>
      </w:pPr>
      <w:r>
        <w:t xml:space="preserve">Gesundheits-Tracking-Funktionen</w:t>
      </w:r>
    </w:p>
    <w:bookmarkStart w:id="19" w:name="schlaf"/>
    <w:p>
      <w:pPr>
        <w:pStyle w:val="Heading3"/>
      </w:pPr>
      <w:r>
        <w:t xml:space="preserve">Schlaf</w:t>
      </w:r>
    </w:p>
    <w:p>
      <w:pPr>
        <w:pStyle w:val="Compact"/>
        <w:numPr>
          <w:ilvl w:val="0"/>
          <w:numId w:val="1003"/>
        </w:numPr>
      </w:pPr>
      <w:r>
        <w:rPr>
          <w:b/>
          <w:bCs/>
        </w:rPr>
        <w:t xml:space="preserve">Schlafwert:</w:t>
      </w:r>
      <w:r>
        <w:t xml:space="preserve"> </w:t>
      </w:r>
      <w:r>
        <w:t xml:space="preserve">Berücksichtigt Gesamtschlafzeit, Herzfrequenzvariabilität (HFV), nächtliche Bewegung, Schlafzeitenkonstanz und weitere Faktoren.</w:t>
      </w:r>
    </w:p>
    <w:p>
      <w:pPr>
        <w:pStyle w:val="Compact"/>
        <w:numPr>
          <w:ilvl w:val="0"/>
          <w:numId w:val="1003"/>
        </w:numPr>
      </w:pPr>
      <w:r>
        <w:rPr>
          <w:b/>
          <w:bCs/>
        </w:rPr>
        <w:t xml:space="preserve">Schlafphasen:</w:t>
      </w:r>
      <w:r>
        <w:t xml:space="preserve"> </w:t>
      </w:r>
      <w:r>
        <w:t xml:space="preserve">Detaillierte Analyse von Tiefschlaf, REM-Schlaf und Leichtschlaf direkt nach dem Aufstehen.</w:t>
      </w:r>
    </w:p>
    <w:p>
      <w:pPr>
        <w:pStyle w:val="Compact"/>
        <w:numPr>
          <w:ilvl w:val="0"/>
          <w:numId w:val="1003"/>
        </w:numPr>
      </w:pPr>
      <w:r>
        <w:rPr>
          <w:b/>
          <w:bCs/>
        </w:rPr>
        <w:t xml:space="preserve">Blutsauerstoffmessung (SpO2):</w:t>
      </w:r>
      <w:r>
        <w:t xml:space="preserve"> </w:t>
      </w:r>
      <w:r>
        <w:t xml:space="preserve">Messung der Sauerstoffsättigung des Blutes in der Nacht – erkennt mögliche Atemstörungen.</w:t>
      </w:r>
    </w:p>
    <w:p>
      <w:pPr>
        <w:pStyle w:val="Compact"/>
        <w:numPr>
          <w:ilvl w:val="0"/>
          <w:numId w:val="1003"/>
        </w:numPr>
      </w:pPr>
      <w:r>
        <w:rPr>
          <w:b/>
          <w:bCs/>
        </w:rPr>
        <w:t xml:space="preserve">Empfehlungen zur Schlafenszeit:</w:t>
      </w:r>
      <w:r>
        <w:t xml:space="preserve"> </w:t>
      </w:r>
      <w:r>
        <w:t xml:space="preserve">Erinnerungen, wenn es Zeit ist zur Ruhe zu kommen, um die Schlafqualität zu verbessern.</w:t>
      </w:r>
    </w:p>
    <w:bookmarkEnd w:id="19"/>
    <w:bookmarkStart w:id="20" w:name="aktivität-und-fitness"/>
    <w:p>
      <w:pPr>
        <w:pStyle w:val="Heading3"/>
      </w:pPr>
      <w:r>
        <w:t xml:space="preserve">Aktivität und Fitness</w:t>
      </w:r>
    </w:p>
    <w:p>
      <w:pPr>
        <w:pStyle w:val="Compact"/>
        <w:numPr>
          <w:ilvl w:val="0"/>
          <w:numId w:val="1004"/>
        </w:numPr>
      </w:pPr>
      <w:r>
        <w:t xml:space="preserve">Dynamische Aktivitätsziele mit automatischer Aktivitätserkennung</w:t>
      </w:r>
    </w:p>
    <w:p>
      <w:pPr>
        <w:pStyle w:val="Compact"/>
        <w:numPr>
          <w:ilvl w:val="0"/>
          <w:numId w:val="1004"/>
        </w:numPr>
      </w:pPr>
      <w:r>
        <w:t xml:space="preserve">Kontinuierliches Aktivitäts-Tracking rund um die Uhr über den eingebauten Beschleunigungsmesser</w:t>
      </w:r>
    </w:p>
    <w:p>
      <w:pPr>
        <w:pStyle w:val="Compact"/>
        <w:numPr>
          <w:ilvl w:val="0"/>
          <w:numId w:val="1004"/>
        </w:numPr>
      </w:pPr>
      <w:r>
        <w:t xml:space="preserve">Integration in Gesundheits- und Wellness-Apps von Drittanbietern wie Strava</w:t>
      </w:r>
    </w:p>
    <w:bookmarkEnd w:id="20"/>
    <w:bookmarkStart w:id="21" w:name="tagesform"/>
    <w:p>
      <w:pPr>
        <w:pStyle w:val="Heading3"/>
      </w:pPr>
      <w:r>
        <w:t xml:space="preserve">Tagesform</w:t>
      </w:r>
    </w:p>
    <w:p>
      <w:pPr>
        <w:pStyle w:val="FirstParagraph"/>
      </w:pPr>
      <w:r>
        <w:t xml:space="preserve">Personalisierte Rückmeldungen zur täglichen Bereitschaft und Erholung. Wochen-, Monats-, Quartals-, Jahres- und Jubiläumsberichte.</w:t>
      </w:r>
    </w:p>
    <w:bookmarkEnd w:id="21"/>
    <w:bookmarkStart w:id="22" w:name="stress"/>
    <w:p>
      <w:pPr>
        <w:pStyle w:val="Heading3"/>
      </w:pPr>
      <w:r>
        <w:t xml:space="preserve">Stress</w:t>
      </w:r>
    </w:p>
    <w:p>
      <w:pPr>
        <w:pStyle w:val="FirstParagraph"/>
      </w:pPr>
      <w:r>
        <w:t xml:space="preserve">Stressüberwachung tagsüber auf Basis von Herzfrequenzvariabilität und weiterer physiologischer Signale. Resilienz-Tracking.</w:t>
      </w:r>
    </w:p>
    <w:bookmarkEnd w:id="22"/>
    <w:bookmarkStart w:id="23" w:name="herzgesundheit"/>
    <w:p>
      <w:pPr>
        <w:pStyle w:val="Heading3"/>
      </w:pPr>
      <w:r>
        <w:t xml:space="preserve">Herzgesundheit</w:t>
      </w:r>
    </w:p>
    <w:p>
      <w:pPr>
        <w:pStyle w:val="Compact"/>
        <w:numPr>
          <w:ilvl w:val="0"/>
          <w:numId w:val="1005"/>
        </w:numPr>
      </w:pPr>
      <w:r>
        <w:t xml:space="preserve">Herzfrequenz und Herzfrequenzvariabilität (HFV) werden rund um die Uhr abwechselnd gemessen</w:t>
      </w:r>
    </w:p>
    <w:p>
      <w:pPr>
        <w:pStyle w:val="Compact"/>
        <w:numPr>
          <w:ilvl w:val="0"/>
          <w:numId w:val="1005"/>
        </w:numPr>
      </w:pPr>
      <w:r>
        <w:t xml:space="preserve">Kardiovaskuläres Alter</w:t>
      </w:r>
    </w:p>
    <w:p>
      <w:pPr>
        <w:pStyle w:val="Compact"/>
        <w:numPr>
          <w:ilvl w:val="0"/>
          <w:numId w:val="1005"/>
        </w:numPr>
      </w:pPr>
      <w:r>
        <w:t xml:space="preserve">Ausdauerleistungsfähigkeit (VO2max)</w:t>
      </w:r>
    </w:p>
    <w:bookmarkEnd w:id="23"/>
    <w:bookmarkStart w:id="24" w:name="metabolische-gesundheit"/>
    <w:p>
      <w:pPr>
        <w:pStyle w:val="Heading3"/>
      </w:pPr>
      <w:r>
        <w:t xml:space="preserve">Metabolische Gesundheit</w:t>
      </w:r>
    </w:p>
    <w:p>
      <w:pPr>
        <w:pStyle w:val="Compact"/>
        <w:numPr>
          <w:ilvl w:val="0"/>
          <w:numId w:val="1006"/>
        </w:numPr>
      </w:pPr>
      <w:r>
        <w:t xml:space="preserve">Blutzuckerüberwachung</w:t>
      </w:r>
    </w:p>
    <w:p>
      <w:pPr>
        <w:pStyle w:val="Compact"/>
        <w:numPr>
          <w:ilvl w:val="0"/>
          <w:numId w:val="1006"/>
        </w:numPr>
      </w:pPr>
      <w:r>
        <w:t xml:space="preserve">Meals (Mahlzeiten-Tracking)</w:t>
      </w:r>
    </w:p>
    <w:bookmarkEnd w:id="24"/>
    <w:bookmarkStart w:id="25" w:name="frauengesundheit"/>
    <w:p>
      <w:pPr>
        <w:pStyle w:val="Heading3"/>
      </w:pPr>
      <w:r>
        <w:t xml:space="preserve">Frauengesundheit</w:t>
      </w:r>
    </w:p>
    <w:p>
      <w:pPr>
        <w:pStyle w:val="Compact"/>
        <w:numPr>
          <w:ilvl w:val="0"/>
          <w:numId w:val="1007"/>
        </w:numPr>
      </w:pPr>
      <w:r>
        <w:t xml:space="preserve">Cycle Insights (Zyklusverfolgung)</w:t>
      </w:r>
    </w:p>
    <w:p>
      <w:pPr>
        <w:pStyle w:val="Compact"/>
        <w:numPr>
          <w:ilvl w:val="0"/>
          <w:numId w:val="1007"/>
        </w:numPr>
      </w:pPr>
      <w:r>
        <w:t xml:space="preserve">Pregnancy Insights</w:t>
      </w:r>
    </w:p>
    <w:bookmarkEnd w:id="25"/>
    <w:bookmarkStart w:id="26" w:name="Xc6343d84845ac7e8da9f1d9320dc6fd78406a62"/>
    <w:p>
      <w:pPr>
        <w:pStyle w:val="Heading3"/>
      </w:pPr>
      <w:r>
        <w:t xml:space="preserve">Weitere Features (mit aktiver Mitgliedschaft)</w:t>
      </w:r>
    </w:p>
    <w:p>
      <w:pPr>
        <w:pStyle w:val="Compact"/>
        <w:numPr>
          <w:ilvl w:val="0"/>
          <w:numId w:val="1008"/>
        </w:numPr>
      </w:pPr>
      <w:r>
        <w:t xml:space="preserve">Erweiterte Temperaturüberwachung</w:t>
      </w:r>
    </w:p>
    <w:p>
      <w:pPr>
        <w:pStyle w:val="Compact"/>
        <w:numPr>
          <w:ilvl w:val="0"/>
          <w:numId w:val="1008"/>
        </w:numPr>
      </w:pPr>
      <w:r>
        <w:t xml:space="preserve">Oura Labs</w:t>
      </w:r>
    </w:p>
    <w:p>
      <w:pPr>
        <w:pStyle w:val="Compact"/>
        <w:numPr>
          <w:ilvl w:val="0"/>
          <w:numId w:val="1008"/>
        </w:numPr>
      </w:pPr>
      <w:r>
        <w:t xml:space="preserve">Innere Uhr und Chronotyp</w:t>
      </w:r>
    </w:p>
    <w:p>
      <w:pPr>
        <w:pStyle w:val="Compact"/>
        <w:numPr>
          <w:ilvl w:val="0"/>
          <w:numId w:val="1008"/>
        </w:numPr>
      </w:pPr>
      <w:r>
        <w:t xml:space="preserve">Inhalte der Bibliothek „Ressourcen”</w:t>
      </w:r>
    </w:p>
    <w:p>
      <w:pPr>
        <w:pStyle w:val="Compact"/>
        <w:numPr>
          <w:ilvl w:val="0"/>
          <w:numId w:val="1008"/>
        </w:numPr>
      </w:pPr>
      <w:r>
        <w:t xml:space="preserve">Personalisierte Aktivitätsziele</w:t>
      </w:r>
    </w:p>
    <w:p>
      <w:r>
        <w:pict>
          <v:rect style="width:0;height:1.5pt" o:hralign="center" o:hrstd="t" o:hr="t"/>
        </w:pict>
      </w:r>
    </w:p>
    <w:bookmarkEnd w:id="26"/>
    <w:bookmarkEnd w:id="27"/>
    <w:bookmarkStart w:id="34" w:name="technische-spezifikationen"/>
    <w:p>
      <w:pPr>
        <w:pStyle w:val="Heading2"/>
      </w:pPr>
      <w:r>
        <w:t xml:space="preserve">Technische Spezifikationen</w:t>
      </w:r>
    </w:p>
    <w:bookmarkStart w:id="28" w:name="sensoren"/>
    <w:p>
      <w:pPr>
        <w:pStyle w:val="Heading3"/>
      </w:pPr>
      <w:r>
        <w:t xml:space="preserve">Sensoren</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Sensor</w:t>
            </w:r>
          </w:p>
        </w:tc>
        <w:tc>
          <w:tcPr/>
          <w:p>
            <w:pPr>
              <w:pStyle w:val="Compact"/>
            </w:pPr>
            <w:r>
              <w:t xml:space="preserve">Funktion</w:t>
            </w:r>
          </w:p>
        </w:tc>
      </w:tr>
      <w:tr>
        <w:tc>
          <w:tcPr/>
          <w:p>
            <w:pPr>
              <w:pStyle w:val="Compact"/>
            </w:pPr>
            <w:r>
              <w:t xml:space="preserve">Rote und infrarote LEDs</w:t>
            </w:r>
          </w:p>
        </w:tc>
        <w:tc>
          <w:tcPr/>
          <w:p>
            <w:pPr>
              <w:pStyle w:val="Compact"/>
            </w:pPr>
            <w:r>
              <w:t xml:space="preserve">Messung der Sauerstoffsättigung im Blut (beim Schlafen)</w:t>
            </w:r>
          </w:p>
        </w:tc>
      </w:tr>
      <w:tr>
        <w:tc>
          <w:tcPr/>
          <w:p>
            <w:pPr>
              <w:pStyle w:val="Compact"/>
            </w:pPr>
            <w:r>
              <w:t xml:space="preserve">Grüne und infrarote PPG-Sensoren</w:t>
            </w:r>
          </w:p>
        </w:tc>
        <w:tc>
          <w:tcPr/>
          <w:p>
            <w:pPr>
              <w:pStyle w:val="Compact"/>
            </w:pPr>
            <w:r>
              <w:t xml:space="preserve">Herzfrequenz rund um die Uhr, HFV und Atemfrequenz beim Schlafen</w:t>
            </w:r>
          </w:p>
        </w:tc>
      </w:tr>
      <w:tr>
        <w:tc>
          <w:tcPr/>
          <w:p>
            <w:pPr>
              <w:pStyle w:val="Compact"/>
            </w:pPr>
            <w:r>
              <w:t xml:space="preserve">Digitaler Temperatursensor</w:t>
            </w:r>
          </w:p>
        </w:tc>
        <w:tc>
          <w:tcPr/>
          <w:p>
            <w:pPr>
              <w:pStyle w:val="Compact"/>
            </w:pPr>
            <w:r>
              <w:t xml:space="preserve">Erfasst Schwankungen der durchschnittlichen Körpertemperatur</w:t>
            </w:r>
          </w:p>
        </w:tc>
      </w:tr>
      <w:tr>
        <w:tc>
          <w:tcPr/>
          <w:p>
            <w:pPr>
              <w:pStyle w:val="Compact"/>
            </w:pPr>
            <w:r>
              <w:t xml:space="preserve">Beschleunigungsmesser</w:t>
            </w:r>
          </w:p>
        </w:tc>
        <w:tc>
          <w:tcPr/>
          <w:p>
            <w:pPr>
              <w:pStyle w:val="Compact"/>
            </w:pPr>
            <w:r>
              <w:t xml:space="preserve">Verfolgt Bewegung und Aktivität rund um die Uhr</w:t>
            </w:r>
          </w:p>
        </w:tc>
      </w:tr>
    </w:tbl>
    <w:bookmarkEnd w:id="28"/>
    <w:bookmarkStart w:id="29" w:name="gewicht-und-abmessungen"/>
    <w:p>
      <w:pPr>
        <w:pStyle w:val="Heading3"/>
      </w:pPr>
      <w:r>
        <w:t xml:space="preserve">Gewicht und Abmessungen</w:t>
      </w:r>
    </w:p>
    <w:tbl>
      <w:tblPr>
        <w:tblStyle w:val="Table"/>
        <w:tblW w:type="pct" w:w="5000"/>
        <w:tblLayout w:type="fixed"/>
        <w:tblLook w:firstRow="1" w:lastRow="0" w:firstColumn="0" w:lastColumn="0" w:noHBand="0" w:noVBand="0" w:val="0020"/>
      </w:tblPr>
      <w:tblGrid>
        <w:gridCol w:w="1657"/>
        <w:gridCol w:w="2394"/>
        <w:gridCol w:w="3867"/>
      </w:tblGrid>
      <w:tr>
        <w:trPr>
          <w:tblHeader w:val="on"/>
        </w:trPr>
        <w:tc>
          <w:tcPr/>
          <w:p>
            <w:pPr>
              <w:pStyle w:val="Compact"/>
            </w:pPr>
            <w:r>
              <w:t xml:space="preserve">Merkmal</w:t>
            </w:r>
          </w:p>
        </w:tc>
        <w:tc>
          <w:tcPr/>
          <w:p>
            <w:pPr>
              <w:pStyle w:val="Compact"/>
            </w:pPr>
            <w:r>
              <w:t xml:space="preserve">Oura Ring 4</w:t>
            </w:r>
          </w:p>
        </w:tc>
        <w:tc>
          <w:tcPr/>
          <w:p>
            <w:pPr>
              <w:pStyle w:val="Compact"/>
            </w:pPr>
            <w:r>
              <w:t xml:space="preserve">Oura Ring 4 Ceramic</w:t>
            </w:r>
          </w:p>
        </w:tc>
      </w:tr>
      <w:tr>
        <w:tc>
          <w:tcPr/>
          <w:p>
            <w:pPr>
              <w:pStyle w:val="Compact"/>
            </w:pPr>
            <w:r>
              <w:t xml:space="preserve">Breite</w:t>
            </w:r>
          </w:p>
        </w:tc>
        <w:tc>
          <w:tcPr/>
          <w:p>
            <w:pPr>
              <w:pStyle w:val="Compact"/>
            </w:pPr>
            <w:r>
              <w:t xml:space="preserve">7,9 mm</w:t>
            </w:r>
          </w:p>
        </w:tc>
        <w:tc>
          <w:tcPr/>
          <w:p>
            <w:pPr>
              <w:pStyle w:val="Compact"/>
            </w:pPr>
            <w:r>
              <w:t xml:space="preserve">7,9 mm</w:t>
            </w:r>
          </w:p>
        </w:tc>
      </w:tr>
      <w:tr>
        <w:tc>
          <w:tcPr/>
          <w:p>
            <w:pPr>
              <w:pStyle w:val="Compact"/>
            </w:pPr>
            <w:r>
              <w:t xml:space="preserve">Dicke</w:t>
            </w:r>
          </w:p>
        </w:tc>
        <w:tc>
          <w:tcPr/>
          <w:p>
            <w:pPr>
              <w:pStyle w:val="Compact"/>
            </w:pPr>
            <w:r>
              <w:t xml:space="preserve">~2,88 mm</w:t>
            </w:r>
          </w:p>
        </w:tc>
        <w:tc>
          <w:tcPr/>
          <w:p>
            <w:pPr>
              <w:pStyle w:val="Compact"/>
            </w:pPr>
            <w:r>
              <w:t xml:space="preserve">3,51 mm</w:t>
            </w:r>
          </w:p>
        </w:tc>
      </w:tr>
      <w:tr>
        <w:tc>
          <w:tcPr/>
          <w:p>
            <w:pPr>
              <w:pStyle w:val="Compact"/>
            </w:pPr>
            <w:r>
              <w:t xml:space="preserve">Gewicht</w:t>
            </w:r>
          </w:p>
        </w:tc>
        <w:tc>
          <w:tcPr/>
          <w:p>
            <w:pPr>
              <w:pStyle w:val="Compact"/>
            </w:pPr>
            <w:r>
              <w:t xml:space="preserve">3,3–5,2 g (je nach Ringgröße)</w:t>
            </w:r>
          </w:p>
        </w:tc>
        <w:tc>
          <w:tcPr/>
          <w:p>
            <w:pPr>
              <w:pStyle w:val="Compact"/>
            </w:pPr>
            <w:r>
              <w:t xml:space="preserve">5,1–8,1 g (je nach Ringgröße)</w:t>
            </w:r>
          </w:p>
        </w:tc>
      </w:tr>
    </w:tbl>
    <w:bookmarkEnd w:id="29"/>
    <w:bookmarkStart w:id="30" w:name="akkulaufzeit-1"/>
    <w:p>
      <w:pPr>
        <w:pStyle w:val="Heading3"/>
      </w:pPr>
      <w:r>
        <w:t xml:space="preserve">Akkulaufzeit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Merkmal</w:t>
            </w:r>
          </w:p>
        </w:tc>
        <w:tc>
          <w:tcPr/>
          <w:p>
            <w:pPr>
              <w:pStyle w:val="Compact"/>
            </w:pPr>
            <w:r>
              <w:t xml:space="preserve">Wert</w:t>
            </w:r>
          </w:p>
        </w:tc>
      </w:tr>
      <w:tr>
        <w:tc>
          <w:tcPr/>
          <w:p>
            <w:pPr>
              <w:pStyle w:val="Compact"/>
            </w:pPr>
            <w:r>
              <w:t xml:space="preserve">Akkulaufzeit</w:t>
            </w:r>
          </w:p>
        </w:tc>
        <w:tc>
          <w:tcPr/>
          <w:p>
            <w:pPr>
              <w:pStyle w:val="Compact"/>
            </w:pPr>
            <w:r>
              <w:t xml:space="preserve">5 bis 8 Tage*</w:t>
            </w:r>
          </w:p>
        </w:tc>
      </w:tr>
      <w:tr>
        <w:tc>
          <w:tcPr/>
          <w:p>
            <w:pPr>
              <w:pStyle w:val="Compact"/>
            </w:pPr>
            <w:r>
              <w:t xml:space="preserve">Ladezeit</w:t>
            </w:r>
          </w:p>
        </w:tc>
        <w:tc>
          <w:tcPr/>
          <w:p>
            <w:pPr>
              <w:pStyle w:val="Compact"/>
            </w:pPr>
            <w:r>
              <w:t xml:space="preserve">In der Regel 20–80 Minuten (je nach Ladezustand)</w:t>
            </w:r>
          </w:p>
        </w:tc>
      </w:tr>
    </w:tbl>
    <w:bookmarkEnd w:id="30"/>
    <w:bookmarkStart w:id="31" w:name="materialien"/>
    <w:p>
      <w:pPr>
        <w:pStyle w:val="Heading3"/>
      </w:pPr>
      <w:r>
        <w:t xml:space="preserve">Materialien</w:t>
      </w:r>
    </w:p>
    <w:p>
      <w:pPr>
        <w:pStyle w:val="FirstParagraph"/>
      </w:pPr>
      <w:r>
        <w:rPr>
          <w:b/>
          <w:bCs/>
        </w:rPr>
        <w:t xml:space="preserve">Außenseite – Oura Ring 4:</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Ausführung</w:t>
            </w:r>
          </w:p>
        </w:tc>
        <w:tc>
          <w:tcPr/>
          <w:p>
            <w:pPr>
              <w:pStyle w:val="Compact"/>
            </w:pPr>
            <w:r>
              <w:t xml:space="preserve">Material</w:t>
            </w:r>
          </w:p>
        </w:tc>
      </w:tr>
      <w:tr>
        <w:tc>
          <w:tcPr/>
          <w:p>
            <w:pPr>
              <w:pStyle w:val="Compact"/>
            </w:pPr>
            <w:r>
              <w:t xml:space="preserve">Black, Silver, Brushed Silver, Gold, Rose Gold</w:t>
            </w:r>
          </w:p>
        </w:tc>
        <w:tc>
          <w:tcPr/>
          <w:p>
            <w:pPr>
              <w:pStyle w:val="Compact"/>
            </w:pPr>
            <w:r>
              <w:t xml:space="preserve">Titan mit PVD-Beschichtung (Physical Vapor Deposition)</w:t>
            </w:r>
          </w:p>
        </w:tc>
      </w:tr>
      <w:tr>
        <w:tc>
          <w:tcPr/>
          <w:p>
            <w:pPr>
              <w:pStyle w:val="Compact"/>
            </w:pPr>
            <w:r>
              <w:t xml:space="preserve">Stealth</w:t>
            </w:r>
          </w:p>
        </w:tc>
        <w:tc>
          <w:tcPr/>
          <w:p>
            <w:pPr>
              <w:pStyle w:val="Compact"/>
            </w:pPr>
            <w:r>
              <w:t xml:space="preserve">Titan mit diamantartiger Kohlenstoff-Beschichtung (DLC – Diamond-like Carbon)</w:t>
            </w:r>
          </w:p>
        </w:tc>
      </w:tr>
    </w:tbl>
    <w:p>
      <w:pPr>
        <w:pStyle w:val="BodyText"/>
      </w:pPr>
      <w:r>
        <w:rPr>
          <w:b/>
          <w:bCs/>
        </w:rPr>
        <w:t xml:space="preserve">Außenseite – Oura Ring 4 Ceramic: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Ausführung</w:t>
            </w:r>
          </w:p>
        </w:tc>
        <w:tc>
          <w:tcPr/>
          <w:p>
            <w:pPr>
              <w:pStyle w:val="Compact"/>
            </w:pPr>
            <w:r>
              <w:t xml:space="preserve">Material</w:t>
            </w:r>
          </w:p>
        </w:tc>
      </w:tr>
      <w:tr>
        <w:tc>
          <w:tcPr/>
          <w:p>
            <w:pPr>
              <w:pStyle w:val="Compact"/>
            </w:pPr>
            <w:r>
              <w:t xml:space="preserve">Midnight, Cloud, Petal, Tide</w:t>
            </w:r>
          </w:p>
        </w:tc>
        <w:tc>
          <w:tcPr/>
          <w:p>
            <w:pPr>
              <w:pStyle w:val="Compact"/>
            </w:pPr>
            <w:r>
              <w:t xml:space="preserve">Zirkonoxidkeramik</w:t>
            </w:r>
          </w:p>
        </w:tc>
      </w:tr>
    </w:tbl>
    <w:p>
      <w:pPr>
        <w:pStyle w:val="BodyText"/>
      </w:pPr>
      <w:r>
        <w:rPr>
          <w:b/>
          <w:bCs/>
        </w:rPr>
        <w:t xml:space="preserve">Innenseite (beide Modelle):</w:t>
      </w:r>
    </w:p>
    <w:p>
      <w:pPr>
        <w:pStyle w:val="BodyText"/>
      </w:pPr>
      <w:r>
        <w:t xml:space="preserve">Nicht-allergener Innenring aus Titan. BPA-freie Innenoberfläche mit medizinischer Einstufung.</w:t>
      </w:r>
    </w:p>
    <w:bookmarkEnd w:id="31"/>
    <w:bookmarkStart w:id="32" w:name="konnektivität"/>
    <w:p>
      <w:pPr>
        <w:pStyle w:val="Heading3"/>
      </w:pPr>
      <w:r>
        <w:t xml:space="preserve">Konnektivität</w:t>
      </w:r>
    </w:p>
    <w:p>
      <w:pPr>
        <w:pStyle w:val="Compact"/>
        <w:numPr>
          <w:ilvl w:val="0"/>
          <w:numId w:val="1009"/>
        </w:numPr>
      </w:pPr>
      <w:r>
        <w:t xml:space="preserve">Bluetooth Low Energy (Bluetooth Smart®)</w:t>
      </w:r>
    </w:p>
    <w:p>
      <w:pPr>
        <w:pStyle w:val="Compact"/>
        <w:numPr>
          <w:ilvl w:val="0"/>
          <w:numId w:val="1009"/>
        </w:numPr>
      </w:pPr>
      <w:r>
        <w:t xml:space="preserve">Automatische Firmware-Updates über die Oura-App</w:t>
      </w:r>
    </w:p>
    <w:p>
      <w:pPr>
        <w:pStyle w:val="Compact"/>
        <w:numPr>
          <w:ilvl w:val="0"/>
          <w:numId w:val="1009"/>
        </w:numPr>
      </w:pPr>
      <w:r>
        <w:t xml:space="preserve">EMF-sicher mit aktivierbarem Flugzeugmodus</w:t>
      </w:r>
    </w:p>
    <w:p>
      <w:pPr>
        <w:pStyle w:val="Compact"/>
        <w:numPr>
          <w:ilvl w:val="0"/>
          <w:numId w:val="1009"/>
        </w:numPr>
      </w:pPr>
      <w:r>
        <w:t xml:space="preserve">FCC-zertifiziert</w:t>
      </w:r>
    </w:p>
    <w:bookmarkEnd w:id="32"/>
    <w:bookmarkStart w:id="33" w:name="weitere-technische-daten"/>
    <w:p>
      <w:pPr>
        <w:pStyle w:val="Heading3"/>
      </w:pPr>
      <w:r>
        <w:t xml:space="preserve">Weitere technische Daten</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Merkmal</w:t>
            </w:r>
          </w:p>
        </w:tc>
        <w:tc>
          <w:tcPr/>
          <w:p>
            <w:pPr>
              <w:pStyle w:val="Compact"/>
            </w:pPr>
            <w:r>
              <w:t xml:space="preserve">Wert</w:t>
            </w:r>
          </w:p>
        </w:tc>
      </w:tr>
      <w:tr>
        <w:tc>
          <w:tcPr/>
          <w:p>
            <w:pPr>
              <w:pStyle w:val="Compact"/>
            </w:pPr>
            <w:r>
              <w:t xml:space="preserve">Wasserbeständigkeit</w:t>
            </w:r>
          </w:p>
        </w:tc>
        <w:tc>
          <w:tcPr/>
          <w:p>
            <w:pPr>
              <w:pStyle w:val="Compact"/>
            </w:pPr>
            <w:r>
              <w:t xml:space="preserve">100 m – geeignet für Sauna und Wassersport, nicht zum Tauchen</w:t>
            </w:r>
          </w:p>
        </w:tc>
      </w:tr>
      <w:tr>
        <w:tc>
          <w:tcPr/>
          <w:p>
            <w:pPr>
              <w:pStyle w:val="Compact"/>
            </w:pPr>
            <w:r>
              <w:t xml:space="preserve">Betriebstemperatur</w:t>
            </w:r>
          </w:p>
        </w:tc>
        <w:tc>
          <w:tcPr/>
          <w:p>
            <w:pPr>
              <w:pStyle w:val="Compact"/>
            </w:pPr>
            <w:r>
              <w:t xml:space="preserve">-10 bis 54 °C (Aufladen bei Raumtemperatur empfohlen)</w:t>
            </w:r>
          </w:p>
        </w:tc>
      </w:tr>
    </w:tbl>
    <w:p>
      <w:r>
        <w:pict>
          <v:rect style="width:0;height:1.5pt" o:hralign="center" o:hrstd="t" o:hr="t"/>
        </w:pict>
      </w:r>
    </w:p>
    <w:bookmarkEnd w:id="33"/>
    <w:bookmarkEnd w:id="34"/>
    <w:bookmarkStart w:id="35" w:name="X06381fc680d2f6b445d8921fc873e8dd0896b01"/>
    <w:p>
      <w:pPr>
        <w:pStyle w:val="Heading2"/>
      </w:pPr>
      <w:r>
        <w:t xml:space="preserve">Oura Ring 4 vs. Oura Ring 4 Ceramic — Vergleich</w:t>
      </w:r>
    </w:p>
    <w:tbl>
      <w:tblPr>
        <w:tblStyle w:val="Table"/>
        <w:tblW w:type="pct" w:w="5000"/>
        <w:tblLayout w:type="fixed"/>
        <w:tblLook w:firstRow="1" w:lastRow="0" w:firstColumn="0" w:lastColumn="0" w:noHBand="0" w:noVBand="0" w:val="0020"/>
      </w:tblPr>
      <w:tblGrid>
        <w:gridCol w:w="1657"/>
        <w:gridCol w:w="2394"/>
        <w:gridCol w:w="3867"/>
      </w:tblGrid>
      <w:tr>
        <w:trPr>
          <w:tblHeader w:val="on"/>
        </w:trPr>
        <w:tc>
          <w:tcPr/>
          <w:p>
            <w:pPr>
              <w:pStyle w:val="Compact"/>
            </w:pPr>
            <w:r>
              <w:t xml:space="preserve">Merkmal</w:t>
            </w:r>
          </w:p>
        </w:tc>
        <w:tc>
          <w:tcPr/>
          <w:p>
            <w:pPr>
              <w:pStyle w:val="Compact"/>
            </w:pPr>
            <w:r>
              <w:t xml:space="preserve">Oura Ring 4</w:t>
            </w:r>
          </w:p>
        </w:tc>
        <w:tc>
          <w:tcPr/>
          <w:p>
            <w:pPr>
              <w:pStyle w:val="Compact"/>
            </w:pPr>
            <w:r>
              <w:t xml:space="preserve">Oura Ring 4 Ceramic</w:t>
            </w:r>
          </w:p>
        </w:tc>
      </w:tr>
      <w:tr>
        <w:tc>
          <w:tcPr/>
          <w:p>
            <w:pPr>
              <w:pStyle w:val="Compact"/>
            </w:pPr>
            <w:r>
              <w:rPr>
                <w:b/>
                <w:bCs/>
              </w:rPr>
              <w:t xml:space="preserve">Außenseite</w:t>
            </w:r>
          </w:p>
        </w:tc>
        <w:tc>
          <w:tcPr/>
          <w:p>
            <w:pPr>
              <w:pStyle w:val="Compact"/>
            </w:pPr>
            <w:r>
              <w:t xml:space="preserve">Vollständig aus Titan</w:t>
            </w:r>
          </w:p>
        </w:tc>
        <w:tc>
          <w:tcPr/>
          <w:p>
            <w:pPr>
              <w:pStyle w:val="Compact"/>
            </w:pPr>
            <w:r>
              <w:t xml:space="preserve">Keramikaußenseite (Zirkonoxid)</w:t>
            </w:r>
          </w:p>
        </w:tc>
      </w:tr>
      <w:tr>
        <w:tc>
          <w:tcPr/>
          <w:p>
            <w:pPr>
              <w:pStyle w:val="Compact"/>
            </w:pPr>
            <w:r>
              <w:rPr>
                <w:b/>
                <w:bCs/>
              </w:rPr>
              <w:t xml:space="preserve">Innenseite</w:t>
            </w:r>
          </w:p>
        </w:tc>
        <w:tc>
          <w:tcPr/>
          <w:p>
            <w:pPr>
              <w:pStyle w:val="Compact"/>
            </w:pPr>
            <w:r>
              <w:t xml:space="preserve">Titan</w:t>
            </w:r>
          </w:p>
        </w:tc>
        <w:tc>
          <w:tcPr/>
          <w:p>
            <w:pPr>
              <w:pStyle w:val="Compact"/>
            </w:pPr>
            <w:r>
              <w:t xml:space="preserve">Titan</w:t>
            </w:r>
          </w:p>
        </w:tc>
      </w:tr>
      <w:tr>
        <w:tc>
          <w:tcPr/>
          <w:p>
            <w:pPr>
              <w:pStyle w:val="Compact"/>
            </w:pPr>
            <w:r>
              <w:rPr>
                <w:b/>
                <w:bCs/>
              </w:rPr>
              <w:t xml:space="preserve">Innensensoren</w:t>
            </w:r>
          </w:p>
        </w:tc>
        <w:tc>
          <w:tcPr/>
          <w:p>
            <w:pPr>
              <w:pStyle w:val="Compact"/>
            </w:pPr>
            <w:r>
              <w:t xml:space="preserve">Vertieft (bei 0,3 mm)</w:t>
            </w:r>
          </w:p>
        </w:tc>
        <w:tc>
          <w:tcPr/>
          <w:p>
            <w:pPr>
              <w:pStyle w:val="Compact"/>
            </w:pPr>
            <w:r>
              <w:t xml:space="preserve">Vertieft (bei 0,3 mm)</w:t>
            </w:r>
          </w:p>
        </w:tc>
      </w:tr>
      <w:tr>
        <w:tc>
          <w:tcPr/>
          <w:p>
            <w:pPr>
              <w:pStyle w:val="Compact"/>
            </w:pPr>
            <w:r>
              <w:rPr>
                <w:b/>
                <w:bCs/>
              </w:rPr>
              <w:t xml:space="preserve">Farben</w:t>
            </w:r>
          </w:p>
        </w:tc>
        <w:tc>
          <w:tcPr/>
          <w:p>
            <w:pPr>
              <w:pStyle w:val="Compact"/>
            </w:pPr>
            <w:r>
              <w:t xml:space="preserve">Black, Brushed Silver, Gold, Silver, Stealth, Rose Gold</w:t>
            </w:r>
          </w:p>
        </w:tc>
        <w:tc>
          <w:tcPr/>
          <w:p>
            <w:pPr>
              <w:pStyle w:val="Compact"/>
            </w:pPr>
            <w:r>
              <w:t xml:space="preserve">Cloud, Midnight, Petal, Tide</w:t>
            </w:r>
          </w:p>
        </w:tc>
      </w:tr>
      <w:tr>
        <w:tc>
          <w:tcPr/>
          <w:p>
            <w:pPr>
              <w:pStyle w:val="Compact"/>
            </w:pPr>
            <w:r>
              <w:rPr>
                <w:b/>
                <w:bCs/>
              </w:rPr>
              <w:t xml:space="preserve">Sensorplattform</w:t>
            </w:r>
          </w:p>
        </w:tc>
        <w:tc>
          <w:tcPr/>
          <w:p>
            <w:pPr>
              <w:pStyle w:val="Compact"/>
            </w:pPr>
            <w:r>
              <w:t xml:space="preserve">Smart Sensing</w:t>
            </w:r>
          </w:p>
        </w:tc>
        <w:tc>
          <w:tcPr/>
          <w:p>
            <w:pPr>
              <w:pStyle w:val="Compact"/>
            </w:pPr>
            <w:r>
              <w:t xml:space="preserve">Smart Sensing</w:t>
            </w:r>
          </w:p>
        </w:tc>
      </w:tr>
      <w:tr>
        <w:tc>
          <w:tcPr/>
          <w:p>
            <w:pPr>
              <w:pStyle w:val="Compact"/>
            </w:pPr>
            <w:r>
              <w:rPr>
                <w:b/>
                <w:bCs/>
              </w:rPr>
              <w:t xml:space="preserve">Sensoren</w:t>
            </w:r>
          </w:p>
        </w:tc>
        <w:tc>
          <w:tcPr/>
          <w:p>
            <w:pPr>
              <w:pStyle w:val="Compact"/>
            </w:pPr>
            <w:r>
              <w:t xml:space="preserve">Identisch (Rot/IR LEDs, Grün/IR PPG, Temperatursensor, Beschleunigungsmesser)</w:t>
            </w:r>
          </w:p>
        </w:tc>
        <w:tc>
          <w:tcPr/>
          <w:p>
            <w:pPr>
              <w:pStyle w:val="Compact"/>
            </w:pPr>
            <w:r>
              <w:t xml:space="preserve">Identisch</w:t>
            </w:r>
          </w:p>
        </w:tc>
      </w:tr>
      <w:tr>
        <w:tc>
          <w:tcPr/>
          <w:p>
            <w:pPr>
              <w:pStyle w:val="Compact"/>
            </w:pPr>
            <w:r>
              <w:rPr>
                <w:b/>
                <w:bCs/>
              </w:rPr>
              <w:t xml:space="preserve">Breite</w:t>
            </w:r>
          </w:p>
        </w:tc>
        <w:tc>
          <w:tcPr/>
          <w:p>
            <w:pPr>
              <w:pStyle w:val="Compact"/>
            </w:pPr>
            <w:r>
              <w:t xml:space="preserve">7,9 mm</w:t>
            </w:r>
          </w:p>
        </w:tc>
        <w:tc>
          <w:tcPr/>
          <w:p>
            <w:pPr>
              <w:pStyle w:val="Compact"/>
            </w:pPr>
            <w:r>
              <w:t xml:space="preserve">7,9 mm</w:t>
            </w:r>
          </w:p>
        </w:tc>
      </w:tr>
      <w:tr>
        <w:tc>
          <w:tcPr/>
          <w:p>
            <w:pPr>
              <w:pStyle w:val="Compact"/>
            </w:pPr>
            <w:r>
              <w:rPr>
                <w:b/>
                <w:bCs/>
              </w:rPr>
              <w:t xml:space="preserve">Dicke</w:t>
            </w:r>
          </w:p>
        </w:tc>
        <w:tc>
          <w:tcPr/>
          <w:p>
            <w:pPr>
              <w:pStyle w:val="Compact"/>
            </w:pPr>
            <w:r>
              <w:t xml:space="preserve">~2,88 mm</w:t>
            </w:r>
          </w:p>
        </w:tc>
        <w:tc>
          <w:tcPr/>
          <w:p>
            <w:pPr>
              <w:pStyle w:val="Compact"/>
            </w:pPr>
            <w:r>
              <w:t xml:space="preserve">3,51 mm</w:t>
            </w:r>
          </w:p>
        </w:tc>
      </w:tr>
      <w:tr>
        <w:tc>
          <w:tcPr/>
          <w:p>
            <w:pPr>
              <w:pStyle w:val="Compact"/>
            </w:pPr>
            <w:r>
              <w:rPr>
                <w:b/>
                <w:bCs/>
              </w:rPr>
              <w:t xml:space="preserve">Gewicht</w:t>
            </w:r>
          </w:p>
        </w:tc>
        <w:tc>
          <w:tcPr/>
          <w:p>
            <w:pPr>
              <w:pStyle w:val="Compact"/>
            </w:pPr>
            <w:r>
              <w:t xml:space="preserve">3,3–5,2 g</w:t>
            </w:r>
          </w:p>
        </w:tc>
        <w:tc>
          <w:tcPr/>
          <w:p>
            <w:pPr>
              <w:pStyle w:val="Compact"/>
            </w:pPr>
            <w:r>
              <w:t xml:space="preserve">5,1–8,1 g</w:t>
            </w:r>
          </w:p>
        </w:tc>
      </w:tr>
    </w:tbl>
    <w:p>
      <w:r>
        <w:pict>
          <v:rect style="width:0;height:1.5pt" o:hralign="center" o:hrstd="t" o:hr="t"/>
        </w:pict>
      </w:r>
    </w:p>
    <w:bookmarkEnd w:id="35"/>
    <w:bookmarkStart w:id="36" w:name="software-mitgliedschaft"/>
    <w:p>
      <w:pPr>
        <w:pStyle w:val="Heading2"/>
      </w:pPr>
      <w:r>
        <w:t xml:space="preserve">Software / Mitgliedschaft</w:t>
      </w:r>
    </w:p>
    <w:p>
      <w:pPr>
        <w:pStyle w:val="FirstParagraph"/>
      </w:pPr>
      <w:r>
        <w:t xml:space="preserve">Oura Ring 4 mit aktiver Mitgliedschaft umfasst:</w:t>
      </w:r>
    </w:p>
    <w:p>
      <w:pPr>
        <w:pStyle w:val="Compact"/>
        <w:numPr>
          <w:ilvl w:val="0"/>
          <w:numId w:val="1010"/>
        </w:numPr>
      </w:pPr>
      <w:r>
        <w:t xml:space="preserve">Detaillierte Schlafanalyse</w:t>
      </w:r>
    </w:p>
    <w:p>
      <w:pPr>
        <w:pStyle w:val="Compact"/>
        <w:numPr>
          <w:ilvl w:val="0"/>
          <w:numId w:val="1010"/>
        </w:numPr>
      </w:pPr>
      <w:r>
        <w:t xml:space="preserve">Herzfrequenzmessung rund um die Uhr (tagsüber, nachts, Aktivität)</w:t>
      </w:r>
    </w:p>
    <w:p>
      <w:pPr>
        <w:pStyle w:val="Compact"/>
        <w:numPr>
          <w:ilvl w:val="0"/>
          <w:numId w:val="1010"/>
        </w:numPr>
      </w:pPr>
      <w:r>
        <w:t xml:space="preserve">Integration in Gesundheits- und Wellness-Apps von Drittanbietern wie Strava</w:t>
      </w:r>
    </w:p>
    <w:p>
      <w:pPr>
        <w:pStyle w:val="Compact"/>
        <w:numPr>
          <w:ilvl w:val="0"/>
          <w:numId w:val="1010"/>
        </w:numPr>
      </w:pPr>
      <w:r>
        <w:t xml:space="preserve">Erweiterte Temperaturüberwachung</w:t>
      </w:r>
    </w:p>
    <w:p>
      <w:pPr>
        <w:pStyle w:val="Compact"/>
        <w:numPr>
          <w:ilvl w:val="0"/>
          <w:numId w:val="1010"/>
        </w:numPr>
      </w:pPr>
      <w:r>
        <w:t xml:space="preserve">Blutsauerstoffmessung (SpO2)</w:t>
      </w:r>
    </w:p>
    <w:p>
      <w:pPr>
        <w:pStyle w:val="Compact"/>
        <w:numPr>
          <w:ilvl w:val="0"/>
          <w:numId w:val="1010"/>
        </w:numPr>
      </w:pPr>
      <w:r>
        <w:t xml:space="preserve">Stress tagsüber</w:t>
      </w:r>
    </w:p>
    <w:p>
      <w:pPr>
        <w:pStyle w:val="Compact"/>
        <w:numPr>
          <w:ilvl w:val="0"/>
          <w:numId w:val="1010"/>
        </w:numPr>
      </w:pPr>
      <w:r>
        <w:t xml:space="preserve">Dynamische Aktivitätsziele mit automatischer Aktivitätserkennung</w:t>
      </w:r>
    </w:p>
    <w:p>
      <w:pPr>
        <w:pStyle w:val="Compact"/>
        <w:numPr>
          <w:ilvl w:val="0"/>
          <w:numId w:val="1010"/>
        </w:numPr>
      </w:pPr>
      <w:r>
        <w:t xml:space="preserve">Herzgesundheit (Kardiovaskuläres Alter, Ausdauerleistungsfähigkeit VO2max)</w:t>
      </w:r>
    </w:p>
    <w:p>
      <w:pPr>
        <w:pStyle w:val="Compact"/>
        <w:numPr>
          <w:ilvl w:val="0"/>
          <w:numId w:val="1010"/>
        </w:numPr>
      </w:pPr>
      <w:r>
        <w:t xml:space="preserve">Metabolische Gesundheit (Blutzuckerüberwachung, Meals)</w:t>
      </w:r>
    </w:p>
    <w:p>
      <w:pPr>
        <w:pStyle w:val="Compact"/>
        <w:numPr>
          <w:ilvl w:val="0"/>
          <w:numId w:val="1010"/>
        </w:numPr>
      </w:pPr>
      <w:r>
        <w:t xml:space="preserve">Oura Labs</w:t>
      </w:r>
    </w:p>
    <w:p>
      <w:pPr>
        <w:pStyle w:val="Compact"/>
        <w:numPr>
          <w:ilvl w:val="0"/>
          <w:numId w:val="1010"/>
        </w:numPr>
      </w:pPr>
      <w:r>
        <w:t xml:space="preserve">Resilienz</w:t>
      </w:r>
    </w:p>
    <w:p>
      <w:pPr>
        <w:pStyle w:val="Compact"/>
        <w:numPr>
          <w:ilvl w:val="0"/>
          <w:numId w:val="1010"/>
        </w:numPr>
      </w:pPr>
      <w:r>
        <w:t xml:space="preserve">Wochen-, Monats-, Quartals-, Jahres- und Jubiläumsberichte</w:t>
      </w:r>
    </w:p>
    <w:p>
      <w:pPr>
        <w:pStyle w:val="Compact"/>
        <w:numPr>
          <w:ilvl w:val="0"/>
          <w:numId w:val="1010"/>
        </w:numPr>
      </w:pPr>
      <w:r>
        <w:t xml:space="preserve">Frauengesundheit (Cycle Insights, Pregnancy Insights)</w:t>
      </w:r>
    </w:p>
    <w:p>
      <w:pPr>
        <w:pStyle w:val="FirstParagraph"/>
      </w:pPr>
      <w:r>
        <w:t xml:space="preserve">Die Mitgliedschaft ist an das Oura-Konto gebunden (nicht an den Ring). Beim Wechsel auf Oura Ring 4 werden alle Daten und Vorteile nahtlos übertragen.</w:t>
      </w:r>
    </w:p>
    <w:p>
      <w:r>
        <w:pict>
          <v:rect style="width:0;height:1.5pt" o:hralign="center" o:hrstd="t" o:hr="t"/>
        </w:pict>
      </w:r>
    </w:p>
    <w:bookmarkEnd w:id="36"/>
    <w:bookmarkStart w:id="37" w:name="kompatibilität"/>
    <w:p>
      <w:pPr>
        <w:pStyle w:val="Heading2"/>
      </w:pPr>
      <w:r>
        <w:t xml:space="preserve">Kompatibilität</w:t>
      </w:r>
    </w:p>
    <w:p>
      <w:pPr>
        <w:pStyle w:val="Compact"/>
        <w:numPr>
          <w:ilvl w:val="0"/>
          <w:numId w:val="1011"/>
        </w:numPr>
      </w:pPr>
      <w:r>
        <w:t xml:space="preserve">App verfügbar auf Englisch, Finnisch, Japanisch, Deutsch, Französisch, Spanisch, Italienisch, Niederländisch, Tschechisch, Norwegisch, Schwedisch und Dänisch</w:t>
      </w:r>
    </w:p>
    <w:p>
      <w:pPr>
        <w:pStyle w:val="Compact"/>
        <w:numPr>
          <w:ilvl w:val="0"/>
          <w:numId w:val="1011"/>
        </w:numPr>
      </w:pPr>
      <w:r>
        <w:t xml:space="preserve">Unterstützt metrische und imperiale Maßeinheiten</w:t>
      </w:r>
    </w:p>
    <w:p>
      <w:pPr>
        <w:pStyle w:val="Compact"/>
        <w:numPr>
          <w:ilvl w:val="0"/>
          <w:numId w:val="1011"/>
        </w:numPr>
      </w:pPr>
      <w:r>
        <w:t xml:space="preserve">Integration mit mehr als 40 Apps</w:t>
      </w:r>
    </w:p>
    <w:p>
      <w:pPr>
        <w:pStyle w:val="Compact"/>
        <w:numPr>
          <w:ilvl w:val="0"/>
          <w:numId w:val="1011"/>
        </w:numPr>
      </w:pPr>
      <w:r>
        <w:t xml:space="preserve">Verfügbar für iOS und Android</w:t>
      </w:r>
    </w:p>
    <w:p>
      <w:r>
        <w:pict>
          <v:rect style="width:0;height:1.5pt" o:hralign="center" o:hrstd="t" o:hr="t"/>
        </w:pict>
      </w:r>
    </w:p>
    <w:bookmarkEnd w:id="37"/>
    <w:bookmarkStart w:id="38" w:name="ausführungen-farben"/>
    <w:p>
      <w:pPr>
        <w:pStyle w:val="Heading2"/>
      </w:pPr>
      <w:r>
        <w:t xml:space="preserve">Ausführungen (Farben)</w:t>
      </w:r>
    </w:p>
    <w:p>
      <w:pPr>
        <w:pStyle w:val="FirstParagraph"/>
      </w:pPr>
      <w:r>
        <w:rPr>
          <w:b/>
          <w:bCs/>
        </w:rPr>
        <w:t xml:space="preserve">Oura Ring 4 (Titan):</w:t>
      </w:r>
      <w:r>
        <w:t xml:space="preserve"> </w:t>
      </w:r>
      <w:r>
        <w:t xml:space="preserve">- Silver</w:t>
      </w:r>
      <w:r>
        <w:t xml:space="preserve"> </w:t>
      </w:r>
      <w:r>
        <w:t xml:space="preserve">- Black</w:t>
      </w:r>
      <w:r>
        <w:t xml:space="preserve"> </w:t>
      </w:r>
      <w:r>
        <w:t xml:space="preserve">- Brushed Silver</w:t>
      </w:r>
      <w:r>
        <w:t xml:space="preserve"> </w:t>
      </w:r>
      <w:r>
        <w:t xml:space="preserve">- Stealth</w:t>
      </w:r>
      <w:r>
        <w:t xml:space="preserve"> </w:t>
      </w:r>
      <w:r>
        <w:t xml:space="preserve">- Gold</w:t>
      </w:r>
      <w:r>
        <w:t xml:space="preserve"> </w:t>
      </w:r>
      <w:r>
        <w:t xml:space="preserve">- Rose Gold</w:t>
      </w:r>
    </w:p>
    <w:p>
      <w:pPr>
        <w:pStyle w:val="BodyText"/>
      </w:pPr>
      <w:r>
        <w:rPr>
          <w:b/>
          <w:bCs/>
        </w:rPr>
        <w:t xml:space="preserve">Oura Ring 4 Ceramic:</w:t>
      </w:r>
      <w:r>
        <w:t xml:space="preserve"> </w:t>
      </w:r>
      <w:r>
        <w:t xml:space="preserve">- Midnight</w:t>
      </w:r>
      <w:r>
        <w:t xml:space="preserve"> </w:t>
      </w:r>
      <w:r>
        <w:t xml:space="preserve">- Cloud</w:t>
      </w:r>
      <w:r>
        <w:t xml:space="preserve"> </w:t>
      </w:r>
      <w:r>
        <w:t xml:space="preserve">- Petal</w:t>
      </w:r>
      <w:r>
        <w:t xml:space="preserve"> </w:t>
      </w:r>
      <w:r>
        <w:t xml:space="preserve">- Tide</w:t>
      </w:r>
    </w:p>
    <w:p>
      <w:r>
        <w:pict>
          <v:rect style="width:0;height:1.5pt" o:hralign="center" o:hrstd="t" o:hr="t"/>
        </w:pict>
      </w:r>
    </w:p>
    <w:bookmarkEnd w:id="38"/>
    <w:bookmarkStart w:id="39" w:name="lieferumfang"/>
    <w:p>
      <w:pPr>
        <w:pStyle w:val="Heading2"/>
      </w:pPr>
      <w:r>
        <w:t xml:space="preserve">Lieferumfang</w:t>
      </w:r>
    </w:p>
    <w:p>
      <w:pPr>
        <w:pStyle w:val="Compact"/>
        <w:numPr>
          <w:ilvl w:val="0"/>
          <w:numId w:val="1012"/>
        </w:numPr>
      </w:pPr>
      <w:r>
        <w:t xml:space="preserve">Oura Ring 4</w:t>
      </w:r>
    </w:p>
    <w:p>
      <w:pPr>
        <w:pStyle w:val="Compact"/>
        <w:numPr>
          <w:ilvl w:val="0"/>
          <w:numId w:val="1012"/>
        </w:numPr>
      </w:pPr>
      <w:r>
        <w:t xml:space="preserve">Größenspezifisches Ladegerät</w:t>
      </w:r>
    </w:p>
    <w:p>
      <w:pPr>
        <w:pStyle w:val="Compact"/>
        <w:numPr>
          <w:ilvl w:val="0"/>
          <w:numId w:val="1012"/>
        </w:numPr>
      </w:pPr>
      <w:r>
        <w:t xml:space="preserve">USB-C-Kabel</w:t>
      </w:r>
    </w:p>
    <w:p>
      <w:r>
        <w:pict>
          <v:rect style="width:0;height:1.5pt" o:hralign="center" o:hrstd="t" o:hr="t"/>
        </w:pict>
      </w:r>
    </w:p>
    <w:bookmarkEnd w:id="39"/>
    <w:bookmarkStart w:id="40" w:name="oura-mitgliedschaft-preise"/>
    <w:p>
      <w:pPr>
        <w:pStyle w:val="Heading2"/>
      </w:pPr>
      <w:r>
        <w:t xml:space="preserve">Oura-Mitgliedschaft — Preise</w:t>
      </w:r>
    </w:p>
    <w:p>
      <w:pPr>
        <w:pStyle w:val="FirstParagraph"/>
      </w:pPr>
      <w:r>
        <w:t xml:space="preserve">Der Oura Ring und die Oura-Mitgliedschaft sind wie ein Uhrwerk miteinander verknüpft. Die Mitgliedschaft bietet:</w:t>
      </w:r>
    </w:p>
    <w:p>
      <w:pPr>
        <w:pStyle w:val="Compact"/>
        <w:numPr>
          <w:ilvl w:val="0"/>
          <w:numId w:val="1013"/>
        </w:numPr>
      </w:pPr>
      <w:r>
        <w:t xml:space="preserve">Personalisierte Rückmeldungen und Gesundheitseinblicke</w:t>
      </w:r>
    </w:p>
    <w:p>
      <w:pPr>
        <w:pStyle w:val="Compact"/>
        <w:numPr>
          <w:ilvl w:val="0"/>
          <w:numId w:val="1013"/>
        </w:numPr>
      </w:pPr>
      <w:r>
        <w:t xml:space="preserve">KI-basierter Oura Advisor – wird mit der Zeit immer besser auf den Nutzer abgestimmt</w:t>
      </w:r>
    </w:p>
    <w:p>
      <w:pPr>
        <w:pStyle w:val="Compact"/>
        <w:numPr>
          <w:ilvl w:val="0"/>
          <w:numId w:val="1013"/>
        </w:numPr>
      </w:pPr>
      <w:r>
        <w:t xml:space="preserve">Praktische Tipps für langfristige Gesundheitsziele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Monatlich</w:t>
            </w:r>
          </w:p>
        </w:tc>
        <w:tc>
          <w:tcPr/>
          <w:p>
            <w:pPr>
              <w:pStyle w:val="Compact"/>
            </w:pPr>
            <w:r>
              <w:t xml:space="preserve">Jährlich</w:t>
            </w:r>
          </w:p>
        </w:tc>
      </w:tr>
      <w:tr>
        <w:tc>
          <w:tcPr/>
          <w:p>
            <w:pPr>
              <w:pStyle w:val="Compact"/>
            </w:pPr>
            <w:r>
              <w:t xml:space="preserve">EU</w:t>
            </w:r>
          </w:p>
        </w:tc>
        <w:tc>
          <w:tcPr/>
          <w:p>
            <w:pPr>
              <w:pStyle w:val="Compact"/>
            </w:pPr>
            <w:r>
              <w:t xml:space="preserve">5,99 €</w:t>
            </w:r>
          </w:p>
        </w:tc>
        <w:tc>
          <w:tcPr/>
          <w:p>
            <w:pPr>
              <w:pStyle w:val="Compact"/>
            </w:pPr>
            <w:r>
              <w:t xml:space="preserve">69,99 € (inkl. Steuern)</w:t>
            </w:r>
          </w:p>
        </w:tc>
      </w:tr>
      <w:tr>
        <w:tc>
          <w:tcPr/>
          <w:p>
            <w:pPr>
              <w:pStyle w:val="Compact"/>
            </w:pPr>
            <w:r>
              <w:t xml:space="preserve">USA</w:t>
            </w:r>
          </w:p>
        </w:tc>
        <w:tc>
          <w:tcPr/>
          <w:p>
            <w:pPr>
              <w:pStyle w:val="Compact"/>
            </w:pPr>
            <w:r>
              <w:t xml:space="preserve">5,99 USD</w:t>
            </w:r>
          </w:p>
        </w:tc>
        <w:tc>
          <w:tcPr/>
          <w:p>
            <w:pPr>
              <w:pStyle w:val="Compact"/>
            </w:pPr>
            <w:r>
              <w:t xml:space="preserve">69,99 USD (exkl. Steuern)</w:t>
            </w:r>
          </w:p>
        </w:tc>
      </w:tr>
      <w:tr>
        <w:tc>
          <w:tcPr/>
          <w:p>
            <w:pPr>
              <w:pStyle w:val="Compact"/>
            </w:pPr>
            <w:r>
              <w:t xml:space="preserve">Australien</w:t>
            </w:r>
          </w:p>
        </w:tc>
        <w:tc>
          <w:tcPr/>
          <w:p>
            <w:pPr>
              <w:pStyle w:val="Compact"/>
            </w:pPr>
            <w:r>
              <w:t xml:space="preserve">9,99 AUD</w:t>
            </w:r>
          </w:p>
        </w:tc>
        <w:tc>
          <w:tcPr/>
          <w:p>
            <w:pPr>
              <w:pStyle w:val="Compact"/>
            </w:pPr>
            <w:r>
              <w:t xml:space="preserve">109,99 AUD (inkl. Steuern)</w:t>
            </w:r>
          </w:p>
        </w:tc>
      </w:tr>
      <w:tr>
        <w:tc>
          <w:tcPr/>
          <w:p>
            <w:pPr>
              <w:pStyle w:val="Compact"/>
            </w:pPr>
            <w:r>
              <w:t xml:space="preserve">Kanada</w:t>
            </w:r>
          </w:p>
        </w:tc>
        <w:tc>
          <w:tcPr/>
          <w:p>
            <w:pPr>
              <w:pStyle w:val="Compact"/>
            </w:pPr>
            <w:r>
              <w:t xml:space="preserve">7,99 CAD</w:t>
            </w:r>
          </w:p>
        </w:tc>
        <w:tc>
          <w:tcPr/>
          <w:p>
            <w:pPr>
              <w:pStyle w:val="Compact"/>
            </w:pPr>
            <w:r>
              <w:t xml:space="preserve">89,99 CAD (exkl. Steuern)</w:t>
            </w:r>
          </w:p>
        </w:tc>
      </w:tr>
      <w:tr>
        <w:tc>
          <w:tcPr/>
          <w:p>
            <w:pPr>
              <w:pStyle w:val="Compact"/>
            </w:pPr>
            <w:r>
              <w:t xml:space="preserve">Japan</w:t>
            </w:r>
          </w:p>
        </w:tc>
        <w:tc>
          <w:tcPr/>
          <w:p>
            <w:pPr>
              <w:pStyle w:val="Compact"/>
            </w:pPr>
            <w:r>
              <w:t xml:space="preserve">999 JPY</w:t>
            </w:r>
          </w:p>
        </w:tc>
        <w:tc>
          <w:tcPr/>
          <w:p>
            <w:pPr>
              <w:pStyle w:val="Compact"/>
            </w:pPr>
            <w:r>
              <w:t xml:space="preserve">11.800 JPY (inkl. Steuern)</w:t>
            </w:r>
          </w:p>
        </w:tc>
      </w:tr>
      <w:tr>
        <w:tc>
          <w:tcPr/>
          <w:p>
            <w:pPr>
              <w:pStyle w:val="Compact"/>
            </w:pPr>
            <w:r>
              <w:t xml:space="preserve">Großbritannien</w:t>
            </w:r>
          </w:p>
        </w:tc>
        <w:tc>
          <w:tcPr/>
          <w:p>
            <w:pPr>
              <w:pStyle w:val="Compact"/>
            </w:pPr>
            <w:r>
              <w:t xml:space="preserve">5,99 GBP</w:t>
            </w:r>
          </w:p>
        </w:tc>
        <w:tc>
          <w:tcPr/>
          <w:p>
            <w:pPr>
              <w:pStyle w:val="Compact"/>
            </w:pPr>
            <w:r>
              <w:t xml:space="preserve">69,99 GBP (inkl. Steuern)</w:t>
            </w:r>
          </w:p>
        </w:tc>
      </w:tr>
      <w:tr>
        <w:tc>
          <w:tcPr/>
          <w:p>
            <w:pPr>
              <w:pStyle w:val="Compact"/>
            </w:pPr>
            <w:r>
              <w:t xml:space="preserve">Schweiz</w:t>
            </w:r>
          </w:p>
        </w:tc>
        <w:tc>
          <w:tcPr/>
          <w:p>
            <w:pPr>
              <w:pStyle w:val="Compact"/>
            </w:pPr>
            <w:r>
              <w:t xml:space="preserve">5,99 CHF</w:t>
            </w:r>
          </w:p>
        </w:tc>
        <w:tc>
          <w:tcPr/>
          <w:p>
            <w:pPr>
              <w:pStyle w:val="Compact"/>
            </w:pPr>
            <w:r>
              <w:t xml:space="preserve">69,99 CHF (inkl. Steuern)</w:t>
            </w:r>
          </w:p>
        </w:tc>
      </w:tr>
      <w:tr>
        <w:tc>
          <w:tcPr/>
          <w:p>
            <w:pPr>
              <w:pStyle w:val="Compact"/>
            </w:pPr>
            <w:r>
              <w:t xml:space="preserve">Alle anderen</w:t>
            </w:r>
          </w:p>
        </w:tc>
        <w:tc>
          <w:tcPr/>
          <w:p>
            <w:pPr>
              <w:pStyle w:val="Compact"/>
            </w:pPr>
            <w:r>
              <w:t xml:space="preserve">6,99 USD</w:t>
            </w:r>
          </w:p>
        </w:tc>
        <w:tc>
          <w:tcPr/>
          <w:p>
            <w:pPr>
              <w:pStyle w:val="Compact"/>
            </w:pPr>
            <w:r>
              <w:t xml:space="preserve">79,00 USD (inkl. Steuern)</w:t>
            </w:r>
          </w:p>
        </w:tc>
      </w:tr>
    </w:tbl>
    <w:p>
      <w:pPr>
        <w:pStyle w:val="BodyText"/>
      </w:pPr>
      <w:r>
        <w:t xml:space="preserve">Neue Mitglieder erhalten den ersten Monat kostenlos.**</w:t>
      </w:r>
    </w:p>
    <w:p>
      <w:r>
        <w:pict>
          <v:rect style="width:0;height:1.5pt" o:hralign="center" o:hrstd="t" o:hr="t"/>
        </w:pict>
      </w:r>
    </w:p>
    <w:bookmarkEnd w:id="40"/>
    <w:bookmarkStart w:id="41" w:name="hinweise"/>
    <w:p>
      <w:pPr>
        <w:pStyle w:val="Heading2"/>
      </w:pPr>
      <w:r>
        <w:t xml:space="preserve">Hinweise</w:t>
      </w:r>
    </w:p>
    <w:p>
      <w:pPr>
        <w:pStyle w:val="FirstParagraph"/>
      </w:pPr>
      <w:r>
        <w:t xml:space="preserve">* Laufzeit und Lebensdauer des Akkus hängen von Ringgröße, App-Einstellungen, Funktionskonfiguration, Aktivität, Alter des Akkus und Nutzung ab. Weitere Informationen unter: Oura Ring 4 Akkulaufzeit und Tipps für die optimale Nutzung des Ring-Akkus.</w:t>
      </w:r>
    </w:p>
    <w:p>
      <w:pPr>
        <w:pStyle w:val="BodyText"/>
      </w:pPr>
      <w:r>
        <w:t xml:space="preserve">** Preise für Neukunden – erster Monat kostenlos.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2026-03-26T10:49:06Z</dcterms:created>
  <dcterms:modified xsi:type="dcterms:W3CDTF">2026-03-26T10:49:06Z</dcterms:modified>
</cp:coreProperties>
</file>

<file path=docProps/custom.xml><?xml version="1.0" encoding="utf-8"?>
<Properties xmlns="http://schemas.openxmlformats.org/officeDocument/2006/custom-properties" xmlns:vt="http://schemas.openxmlformats.org/officeDocument/2006/docPropsVTypes"/>
</file>