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ingconn-gen-2-produktspezifikation"/>
    <w:p>
      <w:pPr>
        <w:pStyle w:val="Heading1"/>
      </w:pPr>
      <w:r>
        <w:t xml:space="preserve">RingConn Gen 2 – Produktspezifikation</w:t>
      </w:r>
    </w:p>
    <w:p>
      <w:pPr>
        <w:pStyle w:val="FirstParagraph"/>
      </w:pPr>
      <w:r>
        <w:rPr>
          <w:b/>
          <w:bCs/>
        </w:rPr>
        <w:t xml:space="preserve">Produktname:</w:t>
      </w:r>
      <w:r>
        <w:t xml:space="preserve"> </w:t>
      </w:r>
      <w:r>
        <w:t xml:space="preserve">RingConn Gen 2 Smart Ring</w:t>
      </w:r>
      <w:r>
        <w:t xml:space="preserve"> </w:t>
      </w:r>
      <w:r>
        <w:rPr>
          <w:b/>
          <w:bCs/>
        </w:rPr>
        <w:t xml:space="preserve">Produktkategorie:</w:t>
      </w:r>
      <w:r>
        <w:t xml:space="preserve"> </w:t>
      </w:r>
      <w:r>
        <w:t xml:space="preserve">Smart Ring / Gesundheits-Tracker</w:t>
      </w:r>
      <w:r>
        <w:t xml:space="preserve"> </w:t>
      </w:r>
      <w:r>
        <w:rPr>
          <w:b/>
          <w:bCs/>
        </w:rPr>
        <w:t xml:space="preserve">Produktpreis:</w:t>
      </w:r>
      <w:r>
        <w:t xml:space="preserve"> </w:t>
      </w:r>
      <w:r>
        <w:t xml:space="preserve">339 €</w:t>
      </w:r>
      <w:r>
        <w:t xml:space="preserve"> </w:t>
      </w:r>
      <w:r>
        <w:rPr>
          <w:b/>
          <w:bCs/>
        </w:rPr>
        <w:t xml:space="preserve">Abonnementgebühr:</w:t>
      </w:r>
      <w:r>
        <w:t xml:space="preserve"> </w:t>
      </w:r>
      <w:r>
        <w:t xml:space="preserve">Kostenlos</w:t>
      </w:r>
    </w:p>
    <w:p>
      <w:r>
        <w:pict>
          <v:rect style="width:0;height:1.5pt" o:hralign="center" o:hrstd="t" o:hr="t"/>
        </w:pict>
      </w:r>
    </w:p>
    <w:bookmarkStart w:id="9" w:name="produktbeschreibung"/>
    <w:p>
      <w:pPr>
        <w:pStyle w:val="Heading2"/>
      </w:pPr>
      <w:r>
        <w:t xml:space="preserve">Produktbeschreibung</w:t>
      </w:r>
    </w:p>
    <w:p>
      <w:pPr>
        <w:pStyle w:val="FirstParagraph"/>
      </w:pPr>
      <w:r>
        <w:t xml:space="preserve">Der RingConn Gen 2 ist ein Smart Ring zur kontinuierlichen Gesundheitsüberwachung. Er bietet automatische Schlafapnoe-Überwachung mit 90,7 % Genauigkeit, eine Akkulaufzeit von 10–12 Tagen (verlängerbar auf bis zu 150 Tage mit Ladeetui) und multimetrisches Gesundheits-Tracking ohne Abonnementgebühren. Mit einem Gewicht von 2–3 g und einer Dicke von nur 2 mm ist er der dünnste und leichteste Smart Ring im Vergleichssegment.</w:t>
      </w:r>
    </w:p>
    <w:p>
      <w:r>
        <w:pict>
          <v:rect style="width:0;height:1.5pt" o:hralign="center" o:hrstd="t" o:hr="t"/>
        </w:pict>
      </w:r>
    </w:p>
    <w:bookmarkEnd w:id="9"/>
    <w:bookmarkStart w:id="10" w:name="schlüsselmerkmale"/>
    <w:p>
      <w:pPr>
        <w:pStyle w:val="Heading2"/>
      </w:pPr>
      <w:r>
        <w:t xml:space="preserve">Schlüsselmerkmale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Merkmal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Schlafapnoe-Überwachung</w:t>
            </w:r>
          </w:p>
        </w:tc>
        <w:tc>
          <w:tcPr/>
          <w:p>
            <w:pPr>
              <w:pStyle w:val="Compact"/>
            </w:pPr>
            <w:r>
              <w:t xml:space="preserve">90,7 % Genauigkeit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Akkulaufzeit</w:t>
            </w:r>
          </w:p>
        </w:tc>
        <w:tc>
          <w:tcPr/>
          <w:p>
            <w:pPr>
              <w:pStyle w:val="Compact"/>
            </w:pPr>
            <w:r>
              <w:t xml:space="preserve">10–12 Tage (bis zu 150 Tage mit Ladeetui)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Gewicht</w:t>
            </w:r>
          </w:p>
        </w:tc>
        <w:tc>
          <w:tcPr/>
          <w:p>
            <w:pPr>
              <w:pStyle w:val="Compact"/>
            </w:pPr>
            <w:r>
              <w:t xml:space="preserve">2–3 g (je nach Ringgröße)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Dicke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Abonnement</w:t>
            </w:r>
          </w:p>
        </w:tc>
        <w:tc>
          <w:tcPr/>
          <w:p>
            <w:pPr>
              <w:pStyle w:val="Compact"/>
            </w:pPr>
            <w:r>
              <w:t xml:space="preserve">Nicht erforderlich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Keines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chnische-spezifikationen"/>
    <w:p>
      <w:pPr>
        <w:pStyle w:val="Heading2"/>
      </w:pPr>
      <w:r>
        <w:t xml:space="preserve">Technische Spezifikationen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Materialien</w:t>
            </w:r>
          </w:p>
        </w:tc>
        <w:tc>
          <w:tcPr/>
          <w:p>
            <w:pPr>
              <w:pStyle w:val="Compact"/>
            </w:pPr>
            <w:r>
              <w:t xml:space="preserve">Titanlegierung in Luft- und Raumfahrtqualität, PVD-Beschichtung, Epoxidharz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Breite</w:t>
            </w:r>
          </w:p>
        </w:tc>
        <w:tc>
          <w:tcPr/>
          <w:p>
            <w:pPr>
              <w:pStyle w:val="Compact"/>
            </w:pPr>
            <w:r>
              <w:t xml:space="preserve">6,8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Dicke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Gewicht</w:t>
            </w:r>
          </w:p>
        </w:tc>
        <w:tc>
          <w:tcPr/>
          <w:p>
            <w:pPr>
              <w:pStyle w:val="Compact"/>
            </w:pPr>
            <w:r>
              <w:t xml:space="preserve">2–3 g (je nach Ringgröße)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Wasserdichtigkeit</w:t>
            </w:r>
          </w:p>
        </w:tc>
        <w:tc>
          <w:tcPr/>
          <w:p>
            <w:pPr>
              <w:pStyle w:val="Compact"/>
            </w:pPr>
            <w:r>
              <w:t xml:space="preserve">IP68 (100 m / 328 Fuß)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Arbeitstemperatur</w:t>
            </w:r>
          </w:p>
        </w:tc>
        <w:tc>
          <w:tcPr/>
          <w:p>
            <w:pPr>
              <w:pStyle w:val="Compact"/>
            </w:pPr>
            <w:r>
              <w:t xml:space="preserve">0 °C – 40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Laden</w:t>
            </w:r>
          </w:p>
        </w:tc>
        <w:tc>
          <w:tcPr/>
          <w:p>
            <w:pPr>
              <w:pStyle w:val="Compact"/>
            </w:pPr>
            <w:r>
              <w:t xml:space="preserve">Magnetisches Laden; ca. 90 Minuten bis zur vollständigen Ladung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Konnektivität</w:t>
            </w:r>
          </w:p>
        </w:tc>
        <w:tc>
          <w:tcPr/>
          <w:p>
            <w:pPr>
              <w:pStyle w:val="Compact"/>
            </w:pPr>
            <w:r>
              <w:t xml:space="preserve">Bluetooth 5.0; Bluetooth-Modul mit geringem Stromverbrauch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Kompatibilität</w:t>
            </w:r>
          </w:p>
        </w:tc>
        <w:tc>
          <w:tcPr/>
          <w:p>
            <w:pPr>
              <w:pStyle w:val="Compact"/>
            </w:pPr>
            <w:r>
              <w:t xml:space="preserve">iOS 14.0+, Android 8.0+, Bluetooth 4.0 und höher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Offline-Speicher</w:t>
            </w:r>
          </w:p>
        </w:tc>
        <w:tc>
          <w:tcPr/>
          <w:p>
            <w:pPr>
              <w:pStyle w:val="Compact"/>
            </w:pPr>
            <w:r>
              <w:t xml:space="preserve">5–7 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kkulaufzeit-nach-ringgröße"/>
    <w:p>
      <w:pPr>
        <w:pStyle w:val="Heading2"/>
      </w:pPr>
      <w:r>
        <w:t xml:space="preserve">Akkulaufzeit nach Ringgröße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Ringgrößen</w:t>
            </w:r>
          </w:p>
        </w:tc>
        <w:tc>
          <w:tcPr/>
          <w:p>
            <w:pPr>
              <w:pStyle w:val="Compact"/>
            </w:pPr>
            <w:r>
              <w:t xml:space="preserve">Akkulaufzeit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Größen 6–7</w:t>
            </w:r>
          </w:p>
        </w:tc>
        <w:tc>
          <w:tcPr/>
          <w:p>
            <w:pPr>
              <w:pStyle w:val="Compact"/>
            </w:pPr>
            <w:r>
              <w:t xml:space="preserve">bis zu 10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Größen 8–11</w:t>
            </w:r>
          </w:p>
        </w:tc>
        <w:tc>
          <w:tcPr/>
          <w:p>
            <w:pPr>
              <w:pStyle w:val="Compact"/>
            </w:pPr>
            <w:r>
              <w:t xml:space="preserve">bis zu 11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Größen 12–14</w:t>
            </w:r>
          </w:p>
        </w:tc>
        <w:tc>
          <w:tcPr/>
          <w:p>
            <w:pPr>
              <w:pStyle w:val="Compact"/>
            </w:pPr>
            <w:r>
              <w:t xml:space="preserve">bis zu 12 Tage</w:t>
            </w:r>
          </w:p>
        </w:tc>
      </w:tr>
    </w:tbl>
    <w:p>
      <w:pPr>
        <w:pStyle w:val="BlockText"/>
      </w:pPr>
      <w:r>
        <w:t xml:space="preserve">Hinweis: Durch die Aktivierung der OSA-Funktion kann sich der Stromverbrauch aufgrund der häufigeren Überwachung erhöhen.</w:t>
      </w:r>
    </w:p>
    <w:p>
      <w:r>
        <w:pict>
          <v:rect style="width:0;height:1.5pt" o:hralign="center" o:hrstd="t" o:hr="t"/>
        </w:pict>
      </w:r>
    </w:p>
    <w:bookmarkEnd w:id="12"/>
    <w:bookmarkStart w:id="17" w:name="gesundheitsmetriken"/>
    <w:p>
      <w:pPr>
        <w:pStyle w:val="Heading2"/>
      </w:pPr>
      <w:r>
        <w:t xml:space="preserve">Gesundheitsmetriken</w:t>
      </w:r>
    </w:p>
    <w:bookmarkStart w:id="13" w:name="schlaf"/>
    <w:p>
      <w:pPr>
        <w:pStyle w:val="Heading3"/>
      </w:pPr>
      <w:r>
        <w:t xml:space="preserve">Schlaf</w:t>
      </w:r>
    </w:p>
    <w:p>
      <w:pPr>
        <w:pStyle w:val="Compact"/>
        <w:numPr>
          <w:ilvl w:val="0"/>
          <w:numId w:val="1001"/>
        </w:numPr>
      </w:pPr>
      <w:r>
        <w:t xml:space="preserve">Schlafapnoe-Überwachung (90,7 % Genauigkeit)</w:t>
      </w:r>
    </w:p>
    <w:p>
      <w:pPr>
        <w:pStyle w:val="Compact"/>
        <w:numPr>
          <w:ilvl w:val="0"/>
          <w:numId w:val="1001"/>
        </w:numPr>
      </w:pPr>
      <w:r>
        <w:t xml:space="preserve">Schlafphasen (REM, Leichtschlaf, Tiefschlaf)</w:t>
      </w:r>
    </w:p>
    <w:p>
      <w:pPr>
        <w:pStyle w:val="Compact"/>
        <w:numPr>
          <w:ilvl w:val="0"/>
          <w:numId w:val="1001"/>
        </w:numPr>
      </w:pPr>
      <w:r>
        <w:t xml:space="preserve">Atemqualität, Herzaktivität, Temperatur und Entwicklungen im Schlaf</w:t>
      </w:r>
    </w:p>
    <w:bookmarkEnd w:id="13"/>
    <w:bookmarkStart w:id="14" w:name="vitalwerte-alle-247"/>
    <w:p>
      <w:pPr>
        <w:pStyle w:val="Heading3"/>
      </w:pPr>
      <w:r>
        <w:t xml:space="preserve">Vitalwerte (alle 24/7)</w:t>
      </w:r>
    </w:p>
    <w:p>
      <w:pPr>
        <w:pStyle w:val="Compact"/>
        <w:numPr>
          <w:ilvl w:val="0"/>
          <w:numId w:val="1002"/>
        </w:numPr>
      </w:pPr>
      <w:r>
        <w:t xml:space="preserve">Herzfrequenz</w:t>
      </w:r>
    </w:p>
    <w:p>
      <w:pPr>
        <w:pStyle w:val="Compact"/>
        <w:numPr>
          <w:ilvl w:val="0"/>
          <w:numId w:val="1002"/>
        </w:numPr>
      </w:pPr>
      <w:r>
        <w:t xml:space="preserve">Sauerstoffsättigung (SpO₂)</w:t>
      </w:r>
    </w:p>
    <w:p>
      <w:pPr>
        <w:pStyle w:val="Compact"/>
        <w:numPr>
          <w:ilvl w:val="0"/>
          <w:numId w:val="1002"/>
        </w:numPr>
      </w:pPr>
      <w:r>
        <w:t xml:space="preserve">Herzfrequenzvariabilität (HRV)</w:t>
      </w:r>
    </w:p>
    <w:p>
      <w:pPr>
        <w:pStyle w:val="Compact"/>
        <w:numPr>
          <w:ilvl w:val="0"/>
          <w:numId w:val="1002"/>
        </w:numPr>
      </w:pPr>
      <w:r>
        <w:t xml:space="preserve">Hauttemperatur</w:t>
      </w:r>
    </w:p>
    <w:p>
      <w:pPr>
        <w:pStyle w:val="Compact"/>
        <w:numPr>
          <w:ilvl w:val="0"/>
          <w:numId w:val="1002"/>
        </w:numPr>
      </w:pPr>
      <w:r>
        <w:t xml:space="preserve">Atemfrequenz</w:t>
      </w:r>
    </w:p>
    <w:bookmarkEnd w:id="14"/>
    <w:bookmarkStart w:id="15" w:name="aktivität"/>
    <w:p>
      <w:pPr>
        <w:pStyle w:val="Heading3"/>
      </w:pPr>
      <w:r>
        <w:t xml:space="preserve">Aktivität</w:t>
      </w:r>
    </w:p>
    <w:p>
      <w:pPr>
        <w:pStyle w:val="Compact"/>
        <w:numPr>
          <w:ilvl w:val="0"/>
          <w:numId w:val="1003"/>
        </w:numPr>
      </w:pPr>
      <w:r>
        <w:t xml:space="preserve">Schritte</w:t>
      </w:r>
    </w:p>
    <w:p>
      <w:pPr>
        <w:pStyle w:val="Compact"/>
        <w:numPr>
          <w:ilvl w:val="0"/>
          <w:numId w:val="1003"/>
        </w:numPr>
      </w:pPr>
      <w:r>
        <w:t xml:space="preserve">Kalorien</w:t>
      </w:r>
    </w:p>
    <w:p>
      <w:pPr>
        <w:pStyle w:val="Compact"/>
        <w:numPr>
          <w:ilvl w:val="0"/>
          <w:numId w:val="1003"/>
        </w:numPr>
      </w:pPr>
      <w:r>
        <w:t xml:space="preserve">Training</w:t>
      </w:r>
    </w:p>
    <w:bookmarkEnd w:id="15"/>
    <w:bookmarkStart w:id="16" w:name="weitere-features"/>
    <w:p>
      <w:pPr>
        <w:pStyle w:val="Heading3"/>
      </w:pPr>
      <w:r>
        <w:t xml:space="preserve">Weitere Features</w:t>
      </w:r>
    </w:p>
    <w:p>
      <w:pPr>
        <w:pStyle w:val="Compact"/>
        <w:numPr>
          <w:ilvl w:val="0"/>
          <w:numId w:val="1004"/>
        </w:numPr>
      </w:pPr>
      <w:r>
        <w:t xml:space="preserve">Stressmanagement (Stresswert und Trends in Echtzeit)</w:t>
      </w:r>
    </w:p>
    <w:p>
      <w:pPr>
        <w:pStyle w:val="Compact"/>
        <w:numPr>
          <w:ilvl w:val="0"/>
          <w:numId w:val="1004"/>
        </w:numPr>
      </w:pPr>
      <w:r>
        <w:t xml:space="preserve">Menstruationsmanagement (Zyklusvorhersage auf Basis von Temperaturschwankungen)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usführungen-farben"/>
    <w:p>
      <w:pPr>
        <w:pStyle w:val="Heading2"/>
      </w:pPr>
      <w:r>
        <w:t xml:space="preserve">Ausführungen (Farben)</w:t>
      </w:r>
    </w:p>
    <w:p>
      <w:pPr>
        <w:pStyle w:val="Compact"/>
        <w:numPr>
          <w:ilvl w:val="0"/>
          <w:numId w:val="1005"/>
        </w:numPr>
      </w:pPr>
      <w:r>
        <w:t xml:space="preserve">Zukunftssilber (Future Silver)</w:t>
      </w:r>
    </w:p>
    <w:p>
      <w:pPr>
        <w:pStyle w:val="Compact"/>
        <w:numPr>
          <w:ilvl w:val="0"/>
          <w:numId w:val="1005"/>
        </w:numPr>
      </w:pPr>
      <w:r>
        <w:t xml:space="preserve">Matt-Schwarz (Matte Black)</w:t>
      </w:r>
    </w:p>
    <w:p>
      <w:pPr>
        <w:pStyle w:val="Compact"/>
        <w:numPr>
          <w:ilvl w:val="0"/>
          <w:numId w:val="1005"/>
        </w:numPr>
      </w:pPr>
      <w:r>
        <w:t xml:space="preserve">Königsgold (Royal Gold)</w:t>
      </w:r>
    </w:p>
    <w:p>
      <w:pPr>
        <w:pStyle w:val="Compact"/>
        <w:numPr>
          <w:ilvl w:val="0"/>
          <w:numId w:val="1005"/>
        </w:numPr>
      </w:pPr>
      <w:r>
        <w:t xml:space="preserve">Roségold (Rose Gold)</w:t>
      </w:r>
    </w:p>
    <w:p>
      <w:r>
        <w:pict>
          <v:rect style="width:0;height:1.5pt" o:hralign="center" o:hrstd="t" o:hr="t"/>
        </w:pict>
      </w:r>
    </w:p>
    <w:bookmarkEnd w:id="18"/>
    <w:bookmarkStart w:id="19" w:name="ringgrößen"/>
    <w:p>
      <w:pPr>
        <w:pStyle w:val="Heading2"/>
      </w:pPr>
      <w:r>
        <w:t xml:space="preserve">Ringgrößen</w:t>
      </w:r>
    </w:p>
    <w:p>
      <w:pPr>
        <w:pStyle w:val="Compact"/>
        <w:numPr>
          <w:ilvl w:val="0"/>
          <w:numId w:val="1006"/>
        </w:numPr>
      </w:pPr>
      <w:r>
        <w:t xml:space="preserve">Verfügbare Größen: 6–14</w:t>
      </w:r>
    </w:p>
    <w:p>
      <w:pPr>
        <w:pStyle w:val="Compact"/>
        <w:numPr>
          <w:ilvl w:val="0"/>
          <w:numId w:val="1006"/>
        </w:numPr>
      </w:pPr>
      <w:r>
        <w:t xml:space="preserve">Größensets identisch mit RingConn Gen 2 Air</w:t>
      </w:r>
    </w:p>
    <w:p>
      <w:pPr>
        <w:pStyle w:val="Compact"/>
        <w:numPr>
          <w:ilvl w:val="0"/>
          <w:numId w:val="1006"/>
        </w:numPr>
      </w:pPr>
      <w:r>
        <w:t xml:space="preserve">Kostenloses Größenbestimmungskit erhältlich</w:t>
      </w:r>
    </w:p>
    <w:p>
      <w:pPr>
        <w:pStyle w:val="Compact"/>
        <w:numPr>
          <w:ilvl w:val="0"/>
          <w:numId w:val="1006"/>
        </w:numPr>
      </w:pPr>
      <w:r>
        <w:t xml:space="preserve">Empfohlener Tragefinger: Zeigefinger (für optimale Messgenauigkeit)</w:t>
      </w:r>
    </w:p>
    <w:p>
      <w:r>
        <w:pict>
          <v:rect style="width:0;height:1.5pt" o:hralign="center" o:hrstd="t" o:hr="t"/>
        </w:pict>
      </w:r>
    </w:p>
    <w:bookmarkEnd w:id="19"/>
    <w:bookmarkStart w:id="20" w:name="lieferumfang"/>
    <w:p>
      <w:pPr>
        <w:pStyle w:val="Heading2"/>
      </w:pPr>
      <w:r>
        <w:t xml:space="preserve">Lieferumfang</w:t>
      </w:r>
    </w:p>
    <w:p>
      <w:pPr>
        <w:pStyle w:val="Compact"/>
        <w:numPr>
          <w:ilvl w:val="0"/>
          <w:numId w:val="1007"/>
        </w:numPr>
      </w:pPr>
      <w:r>
        <w:t xml:space="preserve">Smart Ring der 2. Generation</w:t>
      </w:r>
    </w:p>
    <w:p>
      <w:pPr>
        <w:pStyle w:val="Compact"/>
        <w:numPr>
          <w:ilvl w:val="0"/>
          <w:numId w:val="1007"/>
        </w:numPr>
      </w:pPr>
      <w:r>
        <w:t xml:space="preserve">Ladeetui (ringgröße-spezifisch, kabelloses Laden)</w:t>
      </w:r>
    </w:p>
    <w:p>
      <w:pPr>
        <w:pStyle w:val="Compact"/>
        <w:numPr>
          <w:ilvl w:val="0"/>
          <w:numId w:val="1007"/>
        </w:numPr>
      </w:pPr>
      <w:r>
        <w:t xml:space="preserve">USB-C-Ladekabel</w:t>
      </w:r>
    </w:p>
    <w:p>
      <w:pPr>
        <w:pStyle w:val="Compact"/>
        <w:numPr>
          <w:ilvl w:val="0"/>
          <w:numId w:val="1007"/>
        </w:numPr>
      </w:pPr>
      <w:r>
        <w:t xml:space="preserve">Bedienungsanleitung</w:t>
      </w:r>
    </w:p>
    <w:p>
      <w:pPr>
        <w:pStyle w:val="Compact"/>
        <w:numPr>
          <w:ilvl w:val="0"/>
          <w:numId w:val="1007"/>
        </w:numPr>
      </w:pPr>
      <w:r>
        <w:t xml:space="preserve">Kurzanleitung</w:t>
      </w:r>
    </w:p>
    <w:p>
      <w:r>
        <w:pict>
          <v:rect style="width:0;height:1.5pt" o:hralign="center" o:hrstd="t" o:hr="t"/>
        </w:pict>
      </w:r>
    </w:p>
    <w:bookmarkEnd w:id="20"/>
    <w:bookmarkStart w:id="21" w:name="zubehör-add-ons"/>
    <w:p>
      <w:pPr>
        <w:pStyle w:val="Heading2"/>
      </w:pPr>
      <w:r>
        <w:t xml:space="preserve">Zubehör &amp; Add-ons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Artikel</w:t>
            </w:r>
          </w:p>
        </w:tc>
        <w:tc>
          <w:tcPr/>
          <w:p>
            <w:pPr>
              <w:pStyle w:val="Compact"/>
            </w:pPr>
            <w:r>
              <w:t xml:space="preserve">Preis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Ladestation (Gen 2 Air, universell, kabelgebunden)</w:t>
            </w:r>
          </w:p>
        </w:tc>
        <w:tc>
          <w:tcPr/>
          <w:p>
            <w:pPr>
              <w:pStyle w:val="Compact"/>
            </w:pPr>
            <w:r>
              <w:t xml:space="preserve">39,90 €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RingConn Care+ – 1-Jahr-Schutz</w:t>
            </w:r>
          </w:p>
        </w:tc>
        <w:tc>
          <w:tcPr/>
          <w:p>
            <w:pPr>
              <w:pStyle w:val="Compact"/>
            </w:pPr>
            <w:r>
              <w:t xml:space="preserve">35,99 €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RingConn Care+ – 2-Jahre-Schutz</w:t>
            </w:r>
          </w:p>
        </w:tc>
        <w:tc>
          <w:tcPr/>
          <w:p>
            <w:pPr>
              <w:pStyle w:val="Compact"/>
            </w:pPr>
            <w:r>
              <w:t xml:space="preserve">55,99 €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ersand-rückgabe"/>
    <w:p>
      <w:pPr>
        <w:pStyle w:val="Heading2"/>
      </w:pPr>
      <w:r>
        <w:t xml:space="preserve">Versand &amp; Rückgabe</w:t>
      </w:r>
    </w:p>
    <w:p>
      <w:pPr>
        <w:pStyle w:val="Compact"/>
        <w:numPr>
          <w:ilvl w:val="0"/>
          <w:numId w:val="1008"/>
        </w:numPr>
      </w:pPr>
      <w:r>
        <w:t xml:space="preserve">Kostenloser Versand für Ringe</w:t>
      </w:r>
    </w:p>
    <w:p>
      <w:pPr>
        <w:pStyle w:val="Compact"/>
        <w:numPr>
          <w:ilvl w:val="0"/>
          <w:numId w:val="1008"/>
        </w:numPr>
      </w:pPr>
      <w:r>
        <w:t xml:space="preserve">Lieferung innerhalb von 3–5 Werktagen</w:t>
      </w:r>
    </w:p>
    <w:p>
      <w:pPr>
        <w:pStyle w:val="Compact"/>
        <w:numPr>
          <w:ilvl w:val="0"/>
          <w:numId w:val="1008"/>
        </w:numPr>
      </w:pPr>
      <w:r>
        <w:t xml:space="preserve">14 Tage Rückgabe- und Umtauschrecht</w:t>
      </w:r>
    </w:p>
    <w:p>
      <w:pPr>
        <w:pStyle w:val="BlockText"/>
      </w:pPr>
      <w:r>
        <w:t xml:space="preserve">Hinweis: Der Versand bestimmter Varianten (z. B. Größe 7 Future Silver, Größe 8 Royal Gold, Größe 13 Matte Black u. a.) kann bis zu 1 Woche zusätzlich dauern.</w:t>
      </w:r>
    </w:p>
    <w:p>
      <w:r>
        <w:pict>
          <v:rect style="width:0;height:1.5pt" o:hralign="center" o:hrstd="t" o:hr="t"/>
        </w:pict>
      </w:r>
    </w:p>
    <w:bookmarkEnd w:id="22"/>
    <w:bookmarkStart w:id="23" w:name="datenschutz"/>
    <w:p>
      <w:pPr>
        <w:pStyle w:val="Heading2"/>
      </w:pPr>
      <w:r>
        <w:t xml:space="preserve">Datenschutz</w:t>
      </w:r>
    </w:p>
    <w:p>
      <w:pPr>
        <w:pStyle w:val="FirstParagraph"/>
      </w:pPr>
      <w:r>
        <w:t xml:space="preserve">Die gesamte Datenübertragung, -speicherung und -analyse erfolgt vollständig verschlüsselt auf AWS-Servern in Großbritannien.</w:t>
      </w:r>
    </w:p>
    <w:p>
      <w:r>
        <w:pict>
          <v:rect style="width:0;height:1.5pt" o:hralign="center" o:hrstd="t" o:hr="t"/>
        </w:pict>
      </w:r>
    </w:p>
    <w:bookmarkEnd w:id="23"/>
    <w:bookmarkStart w:id="24" w:name="kompatibilität-ökosystem"/>
    <w:p>
      <w:pPr>
        <w:pStyle w:val="Heading2"/>
      </w:pPr>
      <w:r>
        <w:t xml:space="preserve">Kompatibilität &amp; Ökosystem</w:t>
      </w:r>
    </w:p>
    <w:p>
      <w:pPr>
        <w:pStyle w:val="Compact"/>
        <w:numPr>
          <w:ilvl w:val="0"/>
          <w:numId w:val="1009"/>
        </w:numPr>
      </w:pPr>
      <w:r>
        <w:t xml:space="preserve">iOS 14.0+ und Android 8.0+</w:t>
      </w:r>
    </w:p>
    <w:p>
      <w:pPr>
        <w:pStyle w:val="Compact"/>
        <w:numPr>
          <w:ilvl w:val="0"/>
          <w:numId w:val="1009"/>
        </w:numPr>
      </w:pPr>
      <w:r>
        <w:t xml:space="preserve">Bluetooth 4.0 und höher erforderlich</w:t>
      </w:r>
    </w:p>
    <w:p>
      <w:pPr>
        <w:pStyle w:val="Compact"/>
        <w:numPr>
          <w:ilvl w:val="0"/>
          <w:numId w:val="1009"/>
        </w:numPr>
      </w:pPr>
      <w:r>
        <w:t xml:space="preserve">Datensynchronisation über die RingConn App</w:t>
      </w:r>
    </w:p>
    <w:p>
      <w:pPr>
        <w:pStyle w:val="Compact"/>
        <w:numPr>
          <w:ilvl w:val="0"/>
          <w:numId w:val="1009"/>
        </w:numPr>
      </w:pPr>
      <w:r>
        <w:t xml:space="preserve">Offline-Speicher für 5–7 Tage ohne Smartphone-Verbindung</w:t>
      </w:r>
    </w:p>
    <w:p>
      <w:r>
        <w:pict>
          <v:rect style="width:0;height:1.5pt" o:hralign="center" o:hrstd="t" o:hr="t"/>
        </w:pict>
      </w:r>
    </w:p>
    <w:bookmarkEnd w:id="24"/>
    <w:bookmarkStart w:id="25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rPr>
          <w:i/>
          <w:iCs/>
        </w:rPr>
        <w:t xml:space="preserve">Der RingConn Smart Ring ist kein medizinisches Gerät und ersetzt keine professionelle medizinische Diagnose.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2026-03-26T14:44:02Z</dcterms:created>
  <dcterms:modified xsi:type="dcterms:W3CDTF">2026-03-26T14:44:02Z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