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PlainTable1"/>
        <w:tblW w:w="14319" w:type="dxa"/>
        <w:tblLook w:val="04A0" w:firstRow="1" w:lastRow="0" w:firstColumn="1" w:lastColumn="0" w:noHBand="0" w:noVBand="1"/>
      </w:tblPr>
      <w:tblGrid>
        <w:gridCol w:w="4773"/>
        <w:gridCol w:w="4773"/>
        <w:gridCol w:w="4773"/>
      </w:tblGrid>
      <w:tr w:rsidR="00AE3AE1" w:rsidRPr="00AE3AE1" w14:paraId="3BE8476B" w14:textId="77777777" w:rsidTr="00AE3A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78424076" w14:textId="77777777" w:rsidR="00AE3AE1" w:rsidRPr="004662B4" w:rsidRDefault="00AE3AE1" w:rsidP="00702C90">
            <w:pPr>
              <w:rPr>
                <w:szCs w:val="36"/>
              </w:rPr>
            </w:pPr>
            <w:r w:rsidRPr="004662B4">
              <w:rPr>
                <w:szCs w:val="36"/>
              </w:rPr>
              <w:t>Source</w:t>
            </w:r>
          </w:p>
        </w:tc>
        <w:tc>
          <w:tcPr>
            <w:tcW w:w="4773" w:type="dxa"/>
          </w:tcPr>
          <w:p w14:paraId="20AFDAEB" w14:textId="77777777" w:rsidR="00AE3AE1" w:rsidRPr="004662B4" w:rsidRDefault="00AE3AE1" w:rsidP="00702C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36"/>
              </w:rPr>
            </w:pPr>
            <w:r w:rsidRPr="004662B4">
              <w:rPr>
                <w:szCs w:val="36"/>
              </w:rPr>
              <w:t>Type</w:t>
            </w:r>
          </w:p>
        </w:tc>
        <w:tc>
          <w:tcPr>
            <w:tcW w:w="4773" w:type="dxa"/>
          </w:tcPr>
          <w:p w14:paraId="156E1A01" w14:textId="77777777" w:rsidR="00AE3AE1" w:rsidRPr="004662B4" w:rsidRDefault="00AE3AE1" w:rsidP="00702C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36"/>
              </w:rPr>
            </w:pPr>
            <w:r w:rsidRPr="004662B4">
              <w:rPr>
                <w:szCs w:val="36"/>
              </w:rPr>
              <w:t>Contribution to the unit-cost set</w:t>
            </w:r>
          </w:p>
        </w:tc>
      </w:tr>
      <w:tr w:rsidR="00AE3AE1" w:rsidRPr="00AE3AE1" w14:paraId="06CC1775" w14:textId="77777777" w:rsidTr="00AE3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5908B068" w14:textId="77777777" w:rsidR="00AE3AE1" w:rsidRPr="00AE3AE1" w:rsidRDefault="00AE3AE1" w:rsidP="00702C90">
            <w:pPr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 xml:space="preserve">Mori, </w:t>
            </w:r>
            <w:proofErr w:type="spellStart"/>
            <w:r w:rsidRPr="00AE3AE1">
              <w:rPr>
                <w:sz w:val="21"/>
                <w:szCs w:val="32"/>
              </w:rPr>
              <w:t>Mallange</w:t>
            </w:r>
            <w:proofErr w:type="spellEnd"/>
            <w:r w:rsidRPr="00AE3AE1">
              <w:rPr>
                <w:sz w:val="21"/>
                <w:szCs w:val="32"/>
              </w:rPr>
              <w:t>, Kühl &amp; Okell (2024), Malar J 23:334. doi:10.1186/s12936-024-05173-w</w:t>
            </w:r>
          </w:p>
        </w:tc>
        <w:tc>
          <w:tcPr>
            <w:tcW w:w="4773" w:type="dxa"/>
          </w:tcPr>
          <w:p w14:paraId="3D646C22" w14:textId="77777777" w:rsidR="00AE3AE1" w:rsidRPr="00AE3AE1" w:rsidRDefault="00AE3AE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Systematic review, 19 studies in 12 countries</w:t>
            </w:r>
          </w:p>
        </w:tc>
        <w:tc>
          <w:tcPr>
            <w:tcW w:w="4773" w:type="dxa"/>
          </w:tcPr>
          <w:p w14:paraId="509532D6" w14:textId="77777777" w:rsidR="00AE3AE1" w:rsidRPr="00AE3AE1" w:rsidRDefault="00AE3AE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Provider costs of treating severe malaria in children, adjusted to 2023 US$ (their Table 2); primary source for severe-malaria unit costs</w:t>
            </w:r>
          </w:p>
        </w:tc>
      </w:tr>
      <w:tr w:rsidR="00AE3AE1" w:rsidRPr="00AE3AE1" w14:paraId="6475E891" w14:textId="77777777" w:rsidTr="00AE3AE1">
        <w:trPr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5EACA391" w14:textId="77777777" w:rsidR="00AE3AE1" w:rsidRPr="00AE3AE1" w:rsidRDefault="00AE3AE1" w:rsidP="00702C90">
            <w:pPr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 xml:space="preserve">Conteh, Shuford, </w:t>
            </w:r>
            <w:proofErr w:type="spellStart"/>
            <w:r w:rsidRPr="00AE3AE1">
              <w:rPr>
                <w:sz w:val="21"/>
                <w:szCs w:val="32"/>
              </w:rPr>
              <w:t>Agboraw</w:t>
            </w:r>
            <w:proofErr w:type="spellEnd"/>
            <w:r w:rsidRPr="00AE3AE1">
              <w:rPr>
                <w:sz w:val="21"/>
                <w:szCs w:val="32"/>
              </w:rPr>
              <w:t xml:space="preserve">, Kont, </w:t>
            </w:r>
            <w:proofErr w:type="spellStart"/>
            <w:r w:rsidRPr="00AE3AE1">
              <w:rPr>
                <w:sz w:val="21"/>
                <w:szCs w:val="32"/>
              </w:rPr>
              <w:t>Kolaczinski</w:t>
            </w:r>
            <w:proofErr w:type="spellEnd"/>
            <w:r w:rsidRPr="00AE3AE1">
              <w:rPr>
                <w:sz w:val="21"/>
                <w:szCs w:val="32"/>
              </w:rPr>
              <w:t xml:space="preserve"> &amp; </w:t>
            </w:r>
            <w:proofErr w:type="spellStart"/>
            <w:r w:rsidRPr="00AE3AE1">
              <w:rPr>
                <w:sz w:val="21"/>
                <w:szCs w:val="32"/>
              </w:rPr>
              <w:t>Patouillard</w:t>
            </w:r>
            <w:proofErr w:type="spellEnd"/>
            <w:r w:rsidRPr="00AE3AE1">
              <w:rPr>
                <w:sz w:val="21"/>
                <w:szCs w:val="32"/>
              </w:rPr>
              <w:t xml:space="preserve"> (2021), Value Health 24(8):1213–1222. </w:t>
            </w:r>
            <w:proofErr w:type="gramStart"/>
            <w:r w:rsidRPr="00AE3AE1">
              <w:rPr>
                <w:sz w:val="21"/>
                <w:szCs w:val="32"/>
              </w:rPr>
              <w:t>doi:10.1016/j.jval</w:t>
            </w:r>
            <w:proofErr w:type="gramEnd"/>
            <w:r w:rsidRPr="00AE3AE1">
              <w:rPr>
                <w:sz w:val="21"/>
                <w:szCs w:val="32"/>
              </w:rPr>
              <w:t>.2021.01.013</w:t>
            </w:r>
          </w:p>
        </w:tc>
        <w:tc>
          <w:tcPr>
            <w:tcW w:w="4773" w:type="dxa"/>
          </w:tcPr>
          <w:p w14:paraId="200BD722" w14:textId="77777777" w:rsidR="00AE3AE1" w:rsidRPr="00AE3AE1" w:rsidRDefault="00AE3AE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Systematic review, 103 costing studies</w:t>
            </w:r>
          </w:p>
        </w:tc>
        <w:tc>
          <w:tcPr>
            <w:tcW w:w="4773" w:type="dxa"/>
          </w:tcPr>
          <w:p w14:paraId="0148E495" w14:textId="77777777" w:rsidR="00AE3AE1" w:rsidRPr="00AE3AE1" w:rsidRDefault="00AE3AE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Appendix 9; median provider cost per case treated, US$9.31 uncomplicated and US$89.93 severe, used as a cross-check and for countries without a specific estimate</w:t>
            </w:r>
          </w:p>
        </w:tc>
      </w:tr>
      <w:tr w:rsidR="00AE3AE1" w:rsidRPr="00AE3AE1" w14:paraId="3B8EC959" w14:textId="77777777" w:rsidTr="00AE3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1A67E49C" w14:textId="77777777" w:rsidR="00AE3AE1" w:rsidRPr="00AE3AE1" w:rsidRDefault="00AE3AE1" w:rsidP="00702C90">
            <w:pPr>
              <w:rPr>
                <w:sz w:val="21"/>
                <w:szCs w:val="32"/>
              </w:rPr>
            </w:pPr>
            <w:proofErr w:type="spellStart"/>
            <w:r w:rsidRPr="00AE3AE1">
              <w:rPr>
                <w:sz w:val="21"/>
                <w:szCs w:val="32"/>
              </w:rPr>
              <w:t>Lamesgen</w:t>
            </w:r>
            <w:proofErr w:type="spellEnd"/>
            <w:r w:rsidRPr="00AE3AE1">
              <w:rPr>
                <w:sz w:val="21"/>
                <w:szCs w:val="32"/>
              </w:rPr>
              <w:t xml:space="preserve">, </w:t>
            </w:r>
            <w:proofErr w:type="spellStart"/>
            <w:r w:rsidRPr="00AE3AE1">
              <w:rPr>
                <w:sz w:val="21"/>
                <w:szCs w:val="32"/>
              </w:rPr>
              <w:t>Engidaw</w:t>
            </w:r>
            <w:proofErr w:type="spellEnd"/>
            <w:r w:rsidRPr="00AE3AE1">
              <w:rPr>
                <w:sz w:val="21"/>
                <w:szCs w:val="32"/>
              </w:rPr>
              <w:t>, Gedif, Gete &amp; Belay (2025), Malar J 24. PMID 40635005</w:t>
            </w:r>
          </w:p>
        </w:tc>
        <w:tc>
          <w:tcPr>
            <w:tcW w:w="4773" w:type="dxa"/>
          </w:tcPr>
          <w:p w14:paraId="1EBA0320" w14:textId="77777777" w:rsidR="00AE3AE1" w:rsidRPr="00AE3AE1" w:rsidRDefault="00AE3AE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Systematic review of cost-of-illness studies, 2000–2024</w:t>
            </w:r>
          </w:p>
        </w:tc>
        <w:tc>
          <w:tcPr>
            <w:tcW w:w="4773" w:type="dxa"/>
          </w:tcPr>
          <w:p w14:paraId="61169CEB" w14:textId="77777777" w:rsidR="00AE3AE1" w:rsidRPr="00AE3AE1" w:rsidRDefault="00AE3AE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Additional file 3; country-level treatment costs converted to 2024 rates. Reported ranges US$4.03–31.23 uncomplicated and US$10.48–70.86 severe</w:t>
            </w:r>
          </w:p>
        </w:tc>
      </w:tr>
      <w:tr w:rsidR="00AE3AE1" w:rsidRPr="00AE3AE1" w14:paraId="3188AB82" w14:textId="77777777" w:rsidTr="00AE3AE1">
        <w:trPr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6FCF3D56" w14:textId="77777777" w:rsidR="00AE3AE1" w:rsidRPr="00AE3AE1" w:rsidRDefault="00AE3AE1" w:rsidP="00702C90">
            <w:pPr>
              <w:rPr>
                <w:sz w:val="21"/>
                <w:szCs w:val="32"/>
              </w:rPr>
            </w:pPr>
            <w:proofErr w:type="spellStart"/>
            <w:r w:rsidRPr="00AE3AE1">
              <w:rPr>
                <w:sz w:val="21"/>
                <w:szCs w:val="32"/>
              </w:rPr>
              <w:t>Baruda</w:t>
            </w:r>
            <w:proofErr w:type="spellEnd"/>
            <w:r w:rsidRPr="00AE3AE1">
              <w:rPr>
                <w:sz w:val="21"/>
                <w:szCs w:val="32"/>
              </w:rPr>
              <w:t xml:space="preserve">, Belay &amp; </w:t>
            </w:r>
            <w:proofErr w:type="spellStart"/>
            <w:r w:rsidRPr="00AE3AE1">
              <w:rPr>
                <w:sz w:val="21"/>
                <w:szCs w:val="32"/>
              </w:rPr>
              <w:t>Assebe</w:t>
            </w:r>
            <w:proofErr w:type="spellEnd"/>
            <w:r w:rsidRPr="00AE3AE1">
              <w:rPr>
                <w:sz w:val="21"/>
                <w:szCs w:val="32"/>
              </w:rPr>
              <w:t xml:space="preserve"> (2026), Research Square preprint. doi:10.21203/rs.3.rs-8858635/v1</w:t>
            </w:r>
          </w:p>
        </w:tc>
        <w:tc>
          <w:tcPr>
            <w:tcW w:w="4773" w:type="dxa"/>
          </w:tcPr>
          <w:p w14:paraId="7C70FC8E" w14:textId="77777777" w:rsidR="00AE3AE1" w:rsidRPr="00AE3AE1" w:rsidRDefault="00AE3AE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Systematic review and meta-analysis, 43 studies</w:t>
            </w:r>
          </w:p>
        </w:tc>
        <w:tc>
          <w:tcPr>
            <w:tcW w:w="4773" w:type="dxa"/>
          </w:tcPr>
          <w:p w14:paraId="1595DE95" w14:textId="77777777" w:rsidR="00AE3AE1" w:rsidRPr="00AE3AE1" w:rsidRDefault="00AE3AE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Pooled health-system costs, US$20.58 outpatient and US$94.18 inpatient per episode; used to corroborate the assembled values</w:t>
            </w:r>
          </w:p>
        </w:tc>
      </w:tr>
      <w:tr w:rsidR="00AE3AE1" w:rsidRPr="00AE3AE1" w14:paraId="5E0BD8E8" w14:textId="77777777" w:rsidTr="00AE3A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6328689A" w14:textId="77777777" w:rsidR="00AE3AE1" w:rsidRPr="00AE3AE1" w:rsidRDefault="00AE3AE1" w:rsidP="00702C90">
            <w:pPr>
              <w:rPr>
                <w:sz w:val="21"/>
                <w:szCs w:val="32"/>
              </w:rPr>
            </w:pPr>
            <w:proofErr w:type="spellStart"/>
            <w:r w:rsidRPr="00AE3AE1">
              <w:rPr>
                <w:sz w:val="21"/>
                <w:szCs w:val="32"/>
              </w:rPr>
              <w:t>Adjagba</w:t>
            </w:r>
            <w:proofErr w:type="spellEnd"/>
            <w:r w:rsidRPr="00AE3AE1">
              <w:rPr>
                <w:sz w:val="21"/>
                <w:szCs w:val="32"/>
              </w:rPr>
              <w:t xml:space="preserve">, </w:t>
            </w:r>
            <w:proofErr w:type="spellStart"/>
            <w:r w:rsidRPr="00AE3AE1">
              <w:rPr>
                <w:sz w:val="21"/>
                <w:szCs w:val="32"/>
              </w:rPr>
              <w:t>Onwujekwe</w:t>
            </w:r>
            <w:proofErr w:type="spellEnd"/>
            <w:r w:rsidRPr="00AE3AE1">
              <w:rPr>
                <w:sz w:val="21"/>
                <w:szCs w:val="32"/>
              </w:rPr>
              <w:t xml:space="preserve">, Bocoum, Osei-Akoto &amp; Matovu (2019), </w:t>
            </w:r>
            <w:proofErr w:type="spellStart"/>
            <w:r w:rsidRPr="00AE3AE1">
              <w:rPr>
                <w:sz w:val="21"/>
                <w:szCs w:val="32"/>
              </w:rPr>
              <w:t>Afr</w:t>
            </w:r>
            <w:proofErr w:type="spellEnd"/>
            <w:r w:rsidRPr="00AE3AE1">
              <w:rPr>
                <w:sz w:val="21"/>
                <w:szCs w:val="32"/>
              </w:rPr>
              <w:t xml:space="preserve"> J Health Econ 8(1):23–33. doi:10.35202/AJHE.2019.812333</w:t>
            </w:r>
          </w:p>
        </w:tc>
        <w:tc>
          <w:tcPr>
            <w:tcW w:w="4773" w:type="dxa"/>
          </w:tcPr>
          <w:p w14:paraId="2041B5A3" w14:textId="77777777" w:rsidR="00AE3AE1" w:rsidRPr="00AE3AE1" w:rsidRDefault="00AE3AE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Four-country primary costing (Burkina Faso, Ghana, Nigeria, Uganda)</w:t>
            </w:r>
          </w:p>
        </w:tc>
        <w:tc>
          <w:tcPr>
            <w:tcW w:w="4773" w:type="dxa"/>
          </w:tcPr>
          <w:p w14:paraId="13E1F1F4" w14:textId="77777777" w:rsidR="00AE3AE1" w:rsidRPr="00AE3AE1" w:rsidRDefault="00AE3AE1" w:rsidP="00702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Health-system and household costs per episode by severity (their Table 1); source of the Burkina Faso outpatient value</w:t>
            </w:r>
          </w:p>
        </w:tc>
      </w:tr>
      <w:tr w:rsidR="00AE3AE1" w:rsidRPr="00AE3AE1" w14:paraId="5D349890" w14:textId="77777777" w:rsidTr="00AE3AE1">
        <w:trPr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3" w:type="dxa"/>
          </w:tcPr>
          <w:p w14:paraId="078D3020" w14:textId="77777777" w:rsidR="00AE3AE1" w:rsidRPr="00AE3AE1" w:rsidRDefault="00AE3AE1" w:rsidP="00702C90">
            <w:pPr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 xml:space="preserve">DRC National Malaria Control Programme, reported via </w:t>
            </w:r>
            <w:proofErr w:type="spellStart"/>
            <w:r w:rsidRPr="00AE3AE1">
              <w:rPr>
                <w:sz w:val="21"/>
                <w:szCs w:val="32"/>
              </w:rPr>
              <w:t>ReliefWeb</w:t>
            </w:r>
            <w:proofErr w:type="spellEnd"/>
          </w:p>
        </w:tc>
        <w:tc>
          <w:tcPr>
            <w:tcW w:w="4773" w:type="dxa"/>
          </w:tcPr>
          <w:p w14:paraId="4E7BE80F" w14:textId="77777777" w:rsidR="00AE3AE1" w:rsidRPr="00AE3AE1" w:rsidRDefault="00AE3AE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 xml:space="preserve">National </w:t>
            </w:r>
            <w:proofErr w:type="gramStart"/>
            <w:r w:rsidRPr="00AE3AE1">
              <w:rPr>
                <w:sz w:val="21"/>
                <w:szCs w:val="32"/>
              </w:rPr>
              <w:t>programme</w:t>
            </w:r>
            <w:proofErr w:type="gramEnd"/>
            <w:r w:rsidRPr="00AE3AE1">
              <w:rPr>
                <w:sz w:val="21"/>
                <w:szCs w:val="32"/>
              </w:rPr>
              <w:t xml:space="preserve"> estimate</w:t>
            </w:r>
          </w:p>
        </w:tc>
        <w:tc>
          <w:tcPr>
            <w:tcW w:w="4773" w:type="dxa"/>
          </w:tcPr>
          <w:p w14:paraId="02825647" w14:textId="77777777" w:rsidR="00AE3AE1" w:rsidRPr="00AE3AE1" w:rsidRDefault="00AE3AE1" w:rsidP="00702C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32"/>
              </w:rPr>
            </w:pPr>
            <w:r w:rsidRPr="00AE3AE1">
              <w:rPr>
                <w:sz w:val="21"/>
                <w:szCs w:val="32"/>
              </w:rPr>
              <w:t>Treatment cost ranges of US$22–35 uncomplicated and US$75–100 severe for the Democratic Republic of the Congo</w:t>
            </w:r>
          </w:p>
        </w:tc>
      </w:tr>
    </w:tbl>
    <w:p w14:paraId="1C7D9D0D" w14:textId="77777777" w:rsidR="00AF09B0" w:rsidRDefault="00AF09B0"/>
    <w:sectPr w:rsidR="00AF09B0" w:rsidSect="00AE3A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E1"/>
    <w:rsid w:val="004662B4"/>
    <w:rsid w:val="007438FB"/>
    <w:rsid w:val="0076675A"/>
    <w:rsid w:val="00AE3AE1"/>
    <w:rsid w:val="00AF09B0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74F02"/>
  <w15:chartTrackingRefBased/>
  <w15:docId w15:val="{4901B75A-5FD4-DA4A-A2E6-07045F84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AE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A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A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A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A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A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A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AE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E3A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2</cp:revision>
  <dcterms:created xsi:type="dcterms:W3CDTF">2026-08-05T09:30:00Z</dcterms:created>
  <dcterms:modified xsi:type="dcterms:W3CDTF">2026-08-05T09:32:00Z</dcterms:modified>
</cp:coreProperties>
</file>