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198B20" w14:textId="06A814F9" w:rsidR="00091043" w:rsidRDefault="00091043" w:rsidP="00091043">
      <w:pPr>
        <w:pStyle w:val="Heading2"/>
      </w:pPr>
      <w:r>
        <w:t>Supplementary Methods</w:t>
      </w:r>
    </w:p>
    <w:p w14:paraId="54DC213C" w14:textId="50AC425D" w:rsidR="00471196" w:rsidRDefault="00091043" w:rsidP="00471196">
      <w:pPr>
        <w:pStyle w:val="Heading3"/>
      </w:pPr>
      <w:r>
        <w:t>S</w:t>
      </w:r>
      <w:r w:rsidR="00471196">
        <w:t>3</w:t>
      </w:r>
      <w:r w:rsidR="00F31C15">
        <w:t xml:space="preserve">: </w:t>
      </w:r>
      <w:r w:rsidR="00471196">
        <w:t>Parameters</w:t>
      </w:r>
    </w:p>
    <w:p w14:paraId="30B25729" w14:textId="77777777" w:rsidR="00471196" w:rsidRPr="00471196" w:rsidRDefault="00471196" w:rsidP="00471196"/>
    <w:p w14:paraId="1D29FB51" w14:textId="1D2B535E" w:rsidR="00471196" w:rsidRPr="00317901" w:rsidRDefault="00471196" w:rsidP="00471196">
      <w:pPr>
        <w:spacing w:after="200"/>
      </w:pPr>
      <w:r w:rsidRPr="00317901">
        <w:t>Base-case values, ranges and sources for all model parameters are given in Table S</w:t>
      </w:r>
      <w:r w:rsidR="00685355">
        <w:t>1</w:t>
      </w:r>
      <w:r w:rsidRPr="00317901">
        <w:t>5. Where a parameter is varied by scenario, the scenario-specific range is given in Table S</w:t>
      </w:r>
      <w:r w:rsidR="009F53D3">
        <w:t>2</w:t>
      </w:r>
      <w:r w:rsidR="00A0185D" w:rsidRPr="00317901">
        <w:t xml:space="preserve"> in the main text</w:t>
      </w:r>
      <w:r w:rsidRPr="00317901">
        <w:t>.</w:t>
      </w:r>
    </w:p>
    <w:p w14:paraId="402B657B" w14:textId="5332D02B" w:rsidR="00307906" w:rsidRDefault="00307906" w:rsidP="00471196">
      <w:pPr>
        <w:spacing w:after="200"/>
      </w:pPr>
      <w:r w:rsidRPr="00317901">
        <w:t xml:space="preserve">Ranges were derived by partitioning each parameter's plausible interval rather than by fixed percentage variation, as published confidence intervals were unavailable for most inputs. </w:t>
      </w:r>
    </w:p>
    <w:p w14:paraId="42B80E53" w14:textId="6F9EDA60" w:rsidR="009F53D3" w:rsidRPr="00317901" w:rsidRDefault="009F53D3" w:rsidP="00471196">
      <w:pPr>
        <w:spacing w:after="200"/>
      </w:pPr>
      <w:r w:rsidRPr="009F53D3">
        <w:t>The three scenarios are not equally likely futures, but bounds constructed to separate cost uncertainty from clinical uncertainty. The optimistic case assumes escalation is absorbed into the existing MDA round and incurs no programme transition cost; the realistic case admits genuine uncertainty over whether such a cost arises, allowing the multiplier to range from zero; the pessimistic case applies both delivery costs above their full value and an incremental drug cost, reflecting the possibility that the donation does not extend to the higher dose. Pessimistic efficacy is capped at the central estimate rather than the optimistic upper bound, since a pessimistic case should not be permitted best-case efficacy. Uniform distributions were used throughout, as there was no empirical basis for assigning shape within the intervals.</w:t>
      </w:r>
    </w:p>
    <w:p w14:paraId="1A17E74F" w14:textId="77777777" w:rsidR="00C46AB2" w:rsidRPr="00317901" w:rsidRDefault="00C46AB2" w:rsidP="00C46AB2">
      <w:pPr>
        <w:spacing w:after="200"/>
      </w:pPr>
      <w:r w:rsidRPr="00317901">
        <w:t> </w:t>
      </w:r>
      <w:r w:rsidRPr="00317901">
        <w:rPr>
          <w:b/>
        </w:rPr>
        <w:t>Derivation of adverse-event treatment costs</w:t>
      </w:r>
    </w:p>
    <w:p w14:paraId="30E3649D" w14:textId="265BB957" w:rsidR="00471196" w:rsidRPr="00317901" w:rsidRDefault="00C46AB2" w:rsidP="00471196">
      <w:pPr>
        <w:spacing w:after="200"/>
      </w:pPr>
      <w:r w:rsidRPr="00317901">
        <w:t>Mild-to-moderate adverse events were costed only for the small fraction seeking care. Chijioke and Okonkwo (1992) recorded adverse events in 13.1% of 7,556 people treated in mass ivermectin therapy, of whom 97% were mild and did not prevent work; the remaining 3% is taken as the proportion attending an outpatient clinic, applied here as 2.5%. Those attending incur the country-specific outpatient visit cost plus a drug cost of US$0.30 per event. The remainder are assumed to resolve without contact with the health system and are costed at zero. Only incremental events, defined as events at the higher dose minus events at the standard dose, are costed.</w:t>
      </w:r>
    </w:p>
    <w:p w14:paraId="44917775" w14:textId="77777777" w:rsidR="00C46AB2" w:rsidRPr="00317901" w:rsidRDefault="00C46AB2" w:rsidP="00C46AB2">
      <w:pPr>
        <w:spacing w:after="200"/>
      </w:pPr>
      <w:r w:rsidRPr="00317901">
        <w:t xml:space="preserve">Serious adverse-event drug costs were built up component by component rather than assumed. Each treatment component was costed as the probability that a patient receives it, taken from the Makenga </w:t>
      </w:r>
      <w:proofErr w:type="spellStart"/>
      <w:r w:rsidRPr="00317901">
        <w:t>Bof</w:t>
      </w:r>
      <w:proofErr w:type="spellEnd"/>
      <w:r w:rsidRPr="00317901">
        <w:t xml:space="preserve"> et al. (2019) Democratic Republic of the Congo cohort, multiplied by the cost of that component over the expected length of stay:</w:t>
      </w:r>
    </w:p>
    <w:p w14:paraId="1BA0AAC2" w14:textId="6C4FF6E7" w:rsidR="00C46AB2" w:rsidRPr="00317901" w:rsidRDefault="00C46AB2" w:rsidP="00587588">
      <w:pPr>
        <w:spacing w:after="200"/>
        <w:jc w:val="center"/>
      </w:pPr>
      <w:r w:rsidRPr="00317901">
        <w:rPr>
          <w:i/>
        </w:rPr>
        <w:t xml:space="preserve">expected drug cost (group g) = SUM over components </w:t>
      </w:r>
      <w:proofErr w:type="spellStart"/>
      <w:r w:rsidRPr="00317901">
        <w:rPr>
          <w:i/>
        </w:rPr>
        <w:t>i</w:t>
      </w:r>
      <w:proofErr w:type="spellEnd"/>
      <w:r w:rsidRPr="00317901">
        <w:rPr>
          <w:i/>
        </w:rPr>
        <w:t xml:space="preserve"> of [use </w:t>
      </w:r>
      <w:proofErr w:type="spellStart"/>
      <w:r w:rsidRPr="00317901">
        <w:rPr>
          <w:i/>
        </w:rPr>
        <w:t>rate_i</w:t>
      </w:r>
      <w:proofErr w:type="spellEnd"/>
      <w:r w:rsidRPr="00317901">
        <w:rPr>
          <w:i/>
        </w:rPr>
        <w:t xml:space="preserve"> x cost per course (</w:t>
      </w:r>
      <w:proofErr w:type="spellStart"/>
      <w:r w:rsidRPr="00317901">
        <w:rPr>
          <w:i/>
        </w:rPr>
        <w:t>i</w:t>
      </w:r>
      <w:proofErr w:type="spellEnd"/>
      <w:r w:rsidRPr="00317901">
        <w:rPr>
          <w:i/>
        </w:rPr>
        <w:t>, g</w:t>
      </w:r>
      <w:r w:rsidR="00587588" w:rsidRPr="00317901">
        <w:rPr>
          <w:i/>
        </w:rPr>
        <w:t>)]</w:t>
      </w:r>
    </w:p>
    <w:p w14:paraId="72E3D1E3" w14:textId="2A1EB606" w:rsidR="00471196" w:rsidRPr="00317901" w:rsidRDefault="00C46AB2" w:rsidP="00F31C15">
      <w:pPr>
        <w:spacing w:after="200"/>
      </w:pPr>
      <w:r w:rsidRPr="00317901">
        <w:t xml:space="preserve">for g = non-neurological and neurological events. Procurement prices were taken from the UNICEF Supply Catalogue </w:t>
      </w:r>
      <w:r w:rsidRPr="00317901">
        <w:fldChar w:fldCharType="begin"/>
      </w:r>
      <w:r w:rsidR="00B55651" w:rsidRPr="00317901">
        <w:instrText xml:space="preserve"> ADDIN ZOTERO_ITEM CSL_CITATION {"citationID":"n5Ws9rB7","properties":{"unsorted":false,"formattedCitation":"(1)","plainCitation":"(1)","noteIndex":0},"citationItems":[{"id":441,"uris":["http://zotero.org/users/18906319/items/NC5PM3JD"],"itemData":{"id":441,"type":"webpage","abstract":"Report powered by Power BI","language":"en-GB","title":"Power BI Report","URL":"https://app.powerbi.com/view?r=eyJrIjoiYzM0Y2ZjYzMtOGNmZC00NmEwLWFjYmQtYmUwYzgyYzEzNjlkIiwidCI6Ijc3NDEwMTk1LTE0ZTEtNGZiOC05MDRiLWFiMTg5MjAyMzY2NyIsImMiOjh9","accessed":{"date-parts":[["2026",8,5]]}}}],"schema":"https://github.com/citation-style-language/schema/raw/master/csl-citation.json"} </w:instrText>
      </w:r>
      <w:r w:rsidRPr="00317901">
        <w:fldChar w:fldCharType="separate"/>
      </w:r>
      <w:r w:rsidR="00B55651" w:rsidRPr="00317901">
        <w:rPr>
          <w:noProof/>
        </w:rPr>
        <w:t>(1)</w:t>
      </w:r>
      <w:r w:rsidRPr="00317901">
        <w:fldChar w:fldCharType="end"/>
      </w:r>
      <w:r w:rsidRPr="00317901">
        <w:t xml:space="preserve"> and the </w:t>
      </w:r>
      <w:bookmarkStart w:id="0" w:name="_Hlk236782534"/>
      <w:r w:rsidRPr="00317901">
        <w:t xml:space="preserve">MSH International Medical Products Price </w:t>
      </w:r>
      <w:bookmarkEnd w:id="0"/>
      <w:r w:rsidRPr="00317901">
        <w:t xml:space="preserve">Guide </w:t>
      </w:r>
      <w:r w:rsidRPr="00317901">
        <w:fldChar w:fldCharType="begin"/>
      </w:r>
      <w:r w:rsidR="00B55651" w:rsidRPr="00317901">
        <w:instrText xml:space="preserve"> ADDIN ZOTERO_ITEM CSL_CITATION {"citationID":"aFGvYh5A","properties":{"unsorted":false,"formattedCitation":"(2)","plainCitation":"(2)","noteIndex":0},"citationItems":[{"id":439,"uris":["http://zotero.org/users/18906319/items/ELLNDAZQ"],"itemData":{"id":439,"type":"post-weblog","abstract":"International Medical Products Price Guide PDF version ATTENTION: Thank you to all our users and visitors. The International Medical Products Price Guide","container-title":"Management Sciences for Health","language":"en-US","title":"International Medical Products Price Guide","URL":"https://msh.org/resources/international-medical-products-price-guide-2/","accessed":{"date-parts":[["2026",8,5]]}}}],"schema":"https://github.com/citation-style-language/schema/raw/master/csl-citation.json"} </w:instrText>
      </w:r>
      <w:r w:rsidRPr="00317901">
        <w:fldChar w:fldCharType="separate"/>
      </w:r>
      <w:r w:rsidR="00B55651" w:rsidRPr="00317901">
        <w:rPr>
          <w:noProof/>
        </w:rPr>
        <w:t>(2)</w:t>
      </w:r>
      <w:r w:rsidRPr="00317901">
        <w:fldChar w:fldCharType="end"/>
      </w:r>
      <w:r w:rsidRPr="00317901">
        <w:t>; retail and high-income prices returned by general searches were two to three orders of magnitude above low- and middle-income procurement prices and were not used. The resulting probability-weighted totals are $14.01 per non-neurological event and $35.42 per neurological event (Table S</w:t>
      </w:r>
      <w:r w:rsidR="00721F13">
        <w:t>17</w:t>
      </w:r>
      <w:r w:rsidRPr="00317901">
        <w:t>). The drug basket is a minor component of the total serious adverse-event cost, which is dominated by bed-days valued at the country-specific inpatient rate.</w:t>
      </w:r>
    </w:p>
    <w:p w14:paraId="645329B8" w14:textId="2ABB90A4" w:rsidR="00A0185D" w:rsidRPr="00317901" w:rsidRDefault="00C46AB2" w:rsidP="00C46AB2">
      <w:pPr>
        <w:spacing w:after="200"/>
      </w:pPr>
      <w:r w:rsidRPr="00317901">
        <w:t xml:space="preserve">Unit procurement prices underlying the drug basket were taken from international non-profit procurement catalogues rather than retail sources (Table S12). This distinction matters: general price searches for intravenous fluids and corticosteroids return high-income retail and private-clinic prices two to three orders of magnitude above the prices at which these items are </w:t>
      </w:r>
      <w:proofErr w:type="gramStart"/>
      <w:r w:rsidRPr="00317901">
        <w:t>actually procured</w:t>
      </w:r>
      <w:proofErr w:type="gramEnd"/>
      <w:r w:rsidRPr="00317901">
        <w:t xml:space="preserve"> in low- and middle-income </w:t>
      </w:r>
      <w:proofErr w:type="gramStart"/>
      <w:r w:rsidRPr="00317901">
        <w:t>settings, and</w:t>
      </w:r>
      <w:proofErr w:type="gramEnd"/>
      <w:r w:rsidRPr="00317901">
        <w:t xml:space="preserve"> using them would have inflated the estimated harm cost of dose escalation substantially. Because the drug basket is a minor component of total serious </w:t>
      </w:r>
      <w:r w:rsidRPr="00317901">
        <w:lastRenderedPageBreak/>
        <w:t>adverse-event cost relative to bed-days, the choice has limited influence on results, but the conservative direction is worth noting.</w:t>
      </w:r>
    </w:p>
    <w:p w14:paraId="7DFC6A64" w14:textId="57795232" w:rsidR="00C46AB2" w:rsidRPr="00317901" w:rsidRDefault="00C46AB2" w:rsidP="00C46AB2">
      <w:pPr>
        <w:spacing w:after="200"/>
        <w:rPr>
          <w:iCs/>
        </w:rPr>
      </w:pPr>
      <w:r w:rsidRPr="00317901">
        <w:rPr>
          <w:b/>
          <w:iCs/>
        </w:rPr>
        <w:t>Delivery costs: planning and programme transition</w:t>
      </w:r>
    </w:p>
    <w:p w14:paraId="578A729E" w14:textId="77777777" w:rsidR="00C46AB2" w:rsidRPr="00317901" w:rsidRDefault="00C46AB2" w:rsidP="00C46AB2">
      <w:pPr>
        <w:spacing w:after="200"/>
        <w:rPr>
          <w:iCs/>
        </w:rPr>
      </w:pPr>
      <w:r w:rsidRPr="00317901">
        <w:rPr>
          <w:b/>
          <w:iCs/>
        </w:rPr>
        <w:t>Planning cost</w:t>
      </w:r>
    </w:p>
    <w:p w14:paraId="755BEDA3" w14:textId="7E18858C" w:rsidR="00C46AB2" w:rsidRPr="00317901" w:rsidRDefault="00C46AB2" w:rsidP="00C46AB2">
      <w:pPr>
        <w:spacing w:after="200"/>
        <w:rPr>
          <w:iCs/>
        </w:rPr>
      </w:pPr>
      <w:r w:rsidRPr="00317901">
        <w:rPr>
          <w:iCs/>
        </w:rPr>
        <w:t>Planning cost represents a one-day district planning meeting convened to introduce the higher dose, costed bottom-up from six components and evaluated separately for each country. Reference unit values for the non-salary components were taken from published mass-drug-administration costings, principally MACEPA operations in Zambia</w:t>
      </w:r>
      <w:r w:rsidR="00B55651" w:rsidRPr="00317901">
        <w:rPr>
          <w:iCs/>
        </w:rPr>
        <w:t xml:space="preserve"> </w:t>
      </w:r>
      <w:r w:rsidR="00B55651" w:rsidRPr="00317901">
        <w:rPr>
          <w:iCs/>
        </w:rPr>
        <w:fldChar w:fldCharType="begin"/>
      </w:r>
      <w:r w:rsidR="00B55651" w:rsidRPr="00317901">
        <w:rPr>
          <w:iCs/>
        </w:rPr>
        <w:instrText xml:space="preserve"> ADDIN ZOTERO_ITEM CSL_CITATION {"citationID":"ecwq5Dfo","properties":{"unsorted":false,"formattedCitation":"(3)","plainCitation":"(3)","noteIndex":0},"citationItems":[{"id":420,"uris":["http://zotero.org/users/18906319/items/IW7NSRN8"],"itemData":{"id":420,"type":"article-journal","abstract":"Background\nMalaria programmes in countries with low transmission levels require evidence to optimize deployment of current and new tools to reach elimination with limited resources. Recent pilots of elimination strategies in Ethiopia, Senegal, and Zambia produced evidence of their epidemiological impacts and costs. There is a need to generalize these findings to different epidemiological and health systems contexts.\n\nMethods\nDrawing on experience of implementing partners, operational documents and costing studies from these pilots, reference scenarios were defined for rapid reporting (RR), reactive case detection (RACD), mass drug administration (MDA), and in-door residual spraying (IRS). These generalized interventions from their trial implementation to one typical of programmatic delivery. In doing so, resource use due to interventions was isolated from research activities and was related to the pilot setting. Costing models developed around this reference implementation, standardized the scope of resources costed, the valuation of resource use, and the setting in which interventions were evaluated. Sensitivity analyses were used to inform generalizability of the estimates and model assumptions.\n\nResults\nPopulated with local prices and resource use from the pilots, the models yielded an average annual economic cost per capita of $0.18 for RR, $0.75 for RACD, $4.28 for MDA (two rounds), and $1.79 for IRS (one round, 50% households). Intervention design and resource use at service delivery were key drivers of variation in costs of RR, MDA, and RACD. Scale was the most important parameter for IRS. Overall price level was a minor contributor, except for MDA where drugs accounted for 70% of the cost. The analyses showed that at implementation scales comparable to health facility catchment area, systematic correlations between model inputs characterizing implementation and setting produce large gradients in costs.\n\nConclusions\nProspective costing models are powerful tools to explore resource and cost implications of policy alternatives. By formalizing translation of operational data into an estimate of intervention cost, these models provide the methodological infrastructure to strengthen capacity gap for economic evaluation in endemic countries. The value of this approach for decision-making is enhanced when primary cost data collection is designed to enable analysis of the efficiency of operational inputs in relation to features of the trial or the setting, thus facilitating transferability.","container-title":"Malaria Journal","DOI":"10.1186/s12936-020-03405-3","ISSN":"1475-2875","journalAbbreviation":"Malar J","page":"332","PMID":"32928227","PMCID":"PMC7491157","source":"PubMed Central","title":"Costing malaria interventions from pilots to elimination programmes","volume":"19","author":[{"family":"Galactionova","given":"Katya"},{"family":"Velarde","given":"Mar"},{"family":"Silumbe","given":"Kafula"},{"family":"Miller","given":"John"},{"family":"McDonnell","given":"Anthony"},{"family":"Aguas","given":"Ricardo"},{"family":"Smith","given":"Thomas A."},{"family":"Penny","given":"Melissa A."}],"issued":{"date-parts":[["2020",9,14]]}}}],"schema":"https://github.com/citation-style-language/schema/raw/master/csl-citation.json"} </w:instrText>
      </w:r>
      <w:r w:rsidR="00B55651" w:rsidRPr="00317901">
        <w:rPr>
          <w:iCs/>
        </w:rPr>
        <w:fldChar w:fldCharType="separate"/>
      </w:r>
      <w:r w:rsidR="00B55651" w:rsidRPr="00317901">
        <w:rPr>
          <w:iCs/>
          <w:noProof/>
        </w:rPr>
        <w:t>(3)</w:t>
      </w:r>
      <w:r w:rsidR="00B55651" w:rsidRPr="00317901">
        <w:rPr>
          <w:iCs/>
        </w:rPr>
        <w:fldChar w:fldCharType="end"/>
      </w:r>
      <w:r w:rsidRPr="00317901">
        <w:rPr>
          <w:iCs/>
        </w:rPr>
        <w:t>: a mean one-way distance from district to regional centre of 44.5 km, a reference vehicle running cost of US$0.12 per km, a food allowance of US$8.10 per person per meeting day, a district-worker daily subsistence allowance of US$17.07, accommodation at US$28.99 per night, and printed leaflets at US$0.05 each. The meeting is assumed to involve four district attendants for one day with one night's accommodation and 1,000 leaflets.</w:t>
      </w:r>
    </w:p>
    <w:p w14:paraId="62B8890A" w14:textId="77777777" w:rsidR="00C46AB2" w:rsidRPr="00317901" w:rsidRDefault="00C46AB2" w:rsidP="00C46AB2">
      <w:pPr>
        <w:spacing w:after="200"/>
        <w:rPr>
          <w:iCs/>
        </w:rPr>
      </w:pPr>
      <w:r w:rsidRPr="00317901">
        <w:rPr>
          <w:iCs/>
        </w:rPr>
        <w:t>Because these reference values were observed in a single setting, they were transferred to each country using a fuel-price ratio as a general proxy for local price level. Retail fuel prices in US dollars per litre were converted to a running cost per kilometre using a vehicle consumption of 0.13 litres per kilometre, appropriate to the Toyota Land Cruiser typical of programme fleets, and expressed relative to the US$0.12 per km reference:</w:t>
      </w:r>
    </w:p>
    <w:p w14:paraId="5C6E2404" w14:textId="77777777" w:rsidR="00C46AB2" w:rsidRPr="00317901" w:rsidRDefault="00C46AB2" w:rsidP="00587588">
      <w:pPr>
        <w:spacing w:after="200"/>
        <w:jc w:val="center"/>
        <w:rPr>
          <w:iCs/>
        </w:rPr>
      </w:pPr>
      <w:r w:rsidRPr="00317901">
        <w:rPr>
          <w:i/>
          <w:iCs/>
        </w:rPr>
        <w:t xml:space="preserve">fuel ratio = </w:t>
      </w:r>
      <w:proofErr w:type="gramStart"/>
      <w:r w:rsidRPr="00317901">
        <w:rPr>
          <w:i/>
          <w:iCs/>
        </w:rPr>
        <w:t>( fuel</w:t>
      </w:r>
      <w:proofErr w:type="gramEnd"/>
      <w:r w:rsidRPr="00317901">
        <w:rPr>
          <w:i/>
          <w:iCs/>
        </w:rPr>
        <w:t xml:space="preserve"> price per litre x </w:t>
      </w:r>
      <w:proofErr w:type="gramStart"/>
      <w:r w:rsidRPr="00317901">
        <w:rPr>
          <w:i/>
          <w:iCs/>
        </w:rPr>
        <w:t>0.13 )</w:t>
      </w:r>
      <w:proofErr w:type="gramEnd"/>
      <w:r w:rsidRPr="00317901">
        <w:rPr>
          <w:i/>
          <w:iCs/>
        </w:rPr>
        <w:t xml:space="preserve"> / 0.12</w:t>
      </w:r>
    </w:p>
    <w:p w14:paraId="08689010" w14:textId="77777777" w:rsidR="00C46AB2" w:rsidRPr="00317901" w:rsidRDefault="00C46AB2" w:rsidP="00C46AB2">
      <w:pPr>
        <w:spacing w:after="200"/>
        <w:rPr>
          <w:iCs/>
        </w:rPr>
      </w:pPr>
      <w:r w:rsidRPr="00317901">
        <w:rPr>
          <w:iCs/>
        </w:rPr>
        <w:t>The ratio ranges from 0.35 in Angola to 4.16 in Malawi. Each non-salary component is then scaled by it, while staff time uses the country's own salary data and is therefore not scaled:</w:t>
      </w:r>
    </w:p>
    <w:p w14:paraId="2E6B6ACA" w14:textId="77777777" w:rsidR="00C46AB2" w:rsidRPr="00317901" w:rsidRDefault="00C46AB2" w:rsidP="00587588">
      <w:pPr>
        <w:spacing w:after="200"/>
        <w:jc w:val="center"/>
        <w:rPr>
          <w:iCs/>
        </w:rPr>
      </w:pPr>
      <w:r w:rsidRPr="00317901">
        <w:rPr>
          <w:i/>
          <w:iCs/>
        </w:rPr>
        <w:t>transport = 44.5 x 2 x 0.12 x fuel ratio</w:t>
      </w:r>
    </w:p>
    <w:p w14:paraId="69EC8AF7" w14:textId="77777777" w:rsidR="00C46AB2" w:rsidRPr="00317901" w:rsidRDefault="00C46AB2" w:rsidP="00587588">
      <w:pPr>
        <w:spacing w:after="200"/>
        <w:jc w:val="center"/>
        <w:rPr>
          <w:iCs/>
        </w:rPr>
      </w:pPr>
      <w:r w:rsidRPr="00317901">
        <w:rPr>
          <w:i/>
          <w:iCs/>
        </w:rPr>
        <w:t>food = 8.10 x 4 attendants x 1 day x fuel ratio</w:t>
      </w:r>
    </w:p>
    <w:p w14:paraId="329C1FCA" w14:textId="77777777" w:rsidR="00C46AB2" w:rsidRPr="00317901" w:rsidRDefault="00C46AB2" w:rsidP="00587588">
      <w:pPr>
        <w:spacing w:after="200"/>
        <w:jc w:val="center"/>
        <w:rPr>
          <w:iCs/>
        </w:rPr>
      </w:pPr>
      <w:r w:rsidRPr="00317901">
        <w:rPr>
          <w:i/>
          <w:iCs/>
        </w:rPr>
        <w:t>leaflets = 0.05 x 1,000 copies x fuel ratio</w:t>
      </w:r>
    </w:p>
    <w:p w14:paraId="2A7C5E1A" w14:textId="77777777" w:rsidR="00C46AB2" w:rsidRPr="00317901" w:rsidRDefault="00C46AB2" w:rsidP="00587588">
      <w:pPr>
        <w:spacing w:after="200"/>
        <w:jc w:val="center"/>
        <w:rPr>
          <w:iCs/>
        </w:rPr>
      </w:pPr>
      <w:r w:rsidRPr="00317901">
        <w:rPr>
          <w:i/>
          <w:iCs/>
        </w:rPr>
        <w:t>accommodation = 28.99 x 4 attendants x 1 night x fuel ratio</w:t>
      </w:r>
    </w:p>
    <w:p w14:paraId="0032DD7F" w14:textId="77777777" w:rsidR="00C46AB2" w:rsidRPr="00317901" w:rsidRDefault="00C46AB2" w:rsidP="00587588">
      <w:pPr>
        <w:spacing w:after="200"/>
        <w:jc w:val="center"/>
        <w:rPr>
          <w:iCs/>
        </w:rPr>
      </w:pPr>
      <w:r w:rsidRPr="00317901">
        <w:rPr>
          <w:i/>
          <w:iCs/>
        </w:rPr>
        <w:t>subsistence allowance = 17.07 x 4 attendants x 1 day x fuel ratio</w:t>
      </w:r>
    </w:p>
    <w:p w14:paraId="3A6800A4" w14:textId="0DC83DAE" w:rsidR="00C46AB2" w:rsidRPr="00317901" w:rsidRDefault="00C46AB2" w:rsidP="00587588">
      <w:pPr>
        <w:spacing w:after="200"/>
        <w:jc w:val="center"/>
        <w:rPr>
          <w:iCs/>
        </w:rPr>
      </w:pPr>
      <w:r w:rsidRPr="00317901">
        <w:rPr>
          <w:i/>
          <w:iCs/>
        </w:rPr>
        <w:t xml:space="preserve">staff time = (mean district health officer annual salary / 260 working </w:t>
      </w:r>
      <w:proofErr w:type="gramStart"/>
      <w:r w:rsidRPr="00317901">
        <w:rPr>
          <w:i/>
          <w:iCs/>
        </w:rPr>
        <w:t>days )</w:t>
      </w:r>
      <w:proofErr w:type="gramEnd"/>
      <w:r w:rsidRPr="00317901">
        <w:rPr>
          <w:i/>
          <w:iCs/>
        </w:rPr>
        <w:t xml:space="preserve"> x 4 attendants</w:t>
      </w:r>
    </w:p>
    <w:p w14:paraId="42ED7390" w14:textId="77777777" w:rsidR="00C46AB2" w:rsidRPr="00317901" w:rsidRDefault="00C46AB2" w:rsidP="00587588">
      <w:pPr>
        <w:spacing w:after="200"/>
        <w:jc w:val="center"/>
        <w:rPr>
          <w:iCs/>
        </w:rPr>
      </w:pPr>
      <w:r w:rsidRPr="00317901">
        <w:rPr>
          <w:i/>
          <w:iCs/>
        </w:rPr>
        <w:t>planning cost (country) = transport + food + leaflets + accommodation + subsistence allowance + staff time</w:t>
      </w:r>
    </w:p>
    <w:p w14:paraId="2A773753" w14:textId="63638A4C" w:rsidR="00C46AB2" w:rsidRPr="00317901" w:rsidRDefault="00C46AB2" w:rsidP="00C46AB2">
      <w:pPr>
        <w:spacing w:after="200"/>
        <w:rPr>
          <w:iCs/>
        </w:rPr>
      </w:pPr>
      <w:r w:rsidRPr="00317901">
        <w:rPr>
          <w:iCs/>
        </w:rPr>
        <w:t>The round-trip factor of two reflects that the 44.5 km figure is one-way. Total planning cost per country ranges from US$292 in Angola to US$1,335 in Malawi (Table S11</w:t>
      </w:r>
      <w:r w:rsidR="00B55651" w:rsidRPr="00317901">
        <w:rPr>
          <w:iCs/>
        </w:rPr>
        <w:t>) and</w:t>
      </w:r>
      <w:r w:rsidRPr="00317901">
        <w:rPr>
          <w:iCs/>
        </w:rPr>
        <w:t xml:space="preserve"> is divided evenly across a country's constituent regions to give the per-region value used in the model. Staff time is the largest single component in most countries, so the total is driven more by national salary levels than by the fuel-price adjustment.</w:t>
      </w:r>
    </w:p>
    <w:p w14:paraId="3A924717" w14:textId="77777777" w:rsidR="00C46AB2" w:rsidRPr="00317901" w:rsidRDefault="00C46AB2" w:rsidP="00C46AB2">
      <w:pPr>
        <w:spacing w:after="200"/>
        <w:rPr>
          <w:iCs/>
        </w:rPr>
      </w:pPr>
      <w:r w:rsidRPr="00317901">
        <w:rPr>
          <w:b/>
          <w:iCs/>
        </w:rPr>
        <w:t>Programme transition cost</w:t>
      </w:r>
    </w:p>
    <w:p w14:paraId="18BE1254" w14:textId="59EBA95B" w:rsidR="00C46AB2" w:rsidRPr="00317901" w:rsidRDefault="00C46AB2" w:rsidP="00C46AB2">
      <w:pPr>
        <w:spacing w:after="200"/>
        <w:rPr>
          <w:iCs/>
        </w:rPr>
      </w:pPr>
      <w:r w:rsidRPr="00317901">
        <w:rPr>
          <w:iCs/>
        </w:rPr>
        <w:t xml:space="preserve">Programme cost is a separate country-level lump sum representing the operational cost of transitioning an existing mass drug administration programme to the higher dose. It is anchored on the only published estimate of a national antimalarial policy transition: </w:t>
      </w:r>
      <w:proofErr w:type="spellStart"/>
      <w:r w:rsidRPr="00317901">
        <w:rPr>
          <w:iCs/>
        </w:rPr>
        <w:t>Shretta</w:t>
      </w:r>
      <w:proofErr w:type="spellEnd"/>
      <w:r w:rsidRPr="00317901">
        <w:rPr>
          <w:iCs/>
        </w:rPr>
        <w:t xml:space="preserve"> (2008)</w:t>
      </w:r>
      <w:r w:rsidR="00B55651" w:rsidRPr="00317901">
        <w:rPr>
          <w:iCs/>
        </w:rPr>
        <w:t xml:space="preserve"> </w:t>
      </w:r>
      <w:r w:rsidR="00B55651" w:rsidRPr="00317901">
        <w:rPr>
          <w:iCs/>
        </w:rPr>
        <w:fldChar w:fldCharType="begin"/>
      </w:r>
      <w:r w:rsidR="00B55651" w:rsidRPr="00317901">
        <w:rPr>
          <w:iCs/>
        </w:rPr>
        <w:instrText xml:space="preserve"> ADDIN ZOTERO_ITEM CSL_CITATION {"citationID":"yXcKgivo","properties":{"unsorted":false,"formattedCitation":"(4)","plainCitation":"(4)","noteIndex":0},"citationItems":[{"id":374,"uris":["http://zotero.org/users/18906319/items/67YNBQZN"],"itemData":{"id":374,"type":"article-journal","language":"en","source":"Zotero","title":"Operational Challenges of Implementing Multiple First-Line Therapies for Malaria in Endemic Countries","author":[{"family":"Shretta","given":"Rima"}]}}],"schema":"https://github.com/citation-style-language/schema/raw/master/csl-citation.json"} </w:instrText>
      </w:r>
      <w:r w:rsidR="00B55651" w:rsidRPr="00317901">
        <w:rPr>
          <w:iCs/>
        </w:rPr>
        <w:fldChar w:fldCharType="separate"/>
      </w:r>
      <w:r w:rsidR="00B55651" w:rsidRPr="00317901">
        <w:rPr>
          <w:iCs/>
          <w:noProof/>
        </w:rPr>
        <w:t>(4)</w:t>
      </w:r>
      <w:r w:rsidR="00B55651" w:rsidRPr="00317901">
        <w:rPr>
          <w:iCs/>
        </w:rPr>
        <w:fldChar w:fldCharType="end"/>
      </w:r>
      <w:r w:rsidRPr="00317901">
        <w:rPr>
          <w:iCs/>
        </w:rPr>
        <w:t xml:space="preserve">, citing Njau et al. (2001), reports a cost of US$813,734 to switch first-line policy to artemisinin-based combination therapy in Tanzania, and notes that adopting multiple first-line therapies would cost </w:t>
      </w:r>
      <w:r w:rsidRPr="00317901">
        <w:rPr>
          <w:iCs/>
        </w:rPr>
        <w:lastRenderedPageBreak/>
        <w:t>substantially more. This figure was inflated from 2001 to 2024 US dollars using the US consumer price index for all urban consumers (177.1 to 313.689, a factor of 1.7713), giving a reference total of US$1,441,329. It was then transferred to each country using the same fuel-price ratio and divided evenly across that country's regions:</w:t>
      </w:r>
    </w:p>
    <w:p w14:paraId="4ED1D33E" w14:textId="77777777" w:rsidR="00C46AB2" w:rsidRPr="00317901" w:rsidRDefault="00C46AB2" w:rsidP="00587588">
      <w:pPr>
        <w:spacing w:after="200"/>
        <w:jc w:val="center"/>
        <w:rPr>
          <w:iCs/>
        </w:rPr>
      </w:pPr>
      <w:r w:rsidRPr="00317901">
        <w:rPr>
          <w:i/>
          <w:iCs/>
        </w:rPr>
        <w:t>programme cost (region) = 1,441,329 x fuel ratio / n regions in country</w:t>
      </w:r>
    </w:p>
    <w:p w14:paraId="4F391590" w14:textId="40CCEBA3" w:rsidR="00C46AB2" w:rsidRPr="00317901" w:rsidRDefault="00C46AB2" w:rsidP="00C46AB2">
      <w:pPr>
        <w:spacing w:after="200"/>
        <w:rPr>
          <w:iCs/>
        </w:rPr>
      </w:pPr>
      <w:r w:rsidRPr="00317901">
        <w:rPr>
          <w:iCs/>
        </w:rPr>
        <w:t xml:space="preserve">Summed across all regions this gives US$52.6 million at full application, ranging from US$48,561 per region in Nigeria, which has 30 regions and low fuel prices, to US$3.00 million per region in Malawi, which has two regions and the highest fuel price in the set. </w:t>
      </w:r>
      <w:proofErr w:type="spellStart"/>
      <w:r w:rsidRPr="00317901">
        <w:rPr>
          <w:iCs/>
        </w:rPr>
        <w:t>Shretta</w:t>
      </w:r>
      <w:proofErr w:type="spellEnd"/>
      <w:r w:rsidRPr="00317901">
        <w:rPr>
          <w:iCs/>
        </w:rPr>
        <w:t xml:space="preserve"> notes that a dose adjustment within the same drug, as opposed to substituting a different drug, carries transition costs well below those of a full regimen switch, so anchoring on an ACT policy change is deliberately conservative. The scenario structure reflects the remaining uncertainty: programme cost is switched off in the optimistic scenario, applied at 75% in the realistic scenario and in full in the pessimistic scenario. Applying it evenly across regions within a country, rather than in proportion to population or treated numbers, is a simplification that assigns a larger per-capita burden to smaller regions.</w:t>
      </w:r>
    </w:p>
    <w:p w14:paraId="159F3B62" w14:textId="43813773" w:rsidR="00C46AB2" w:rsidRPr="00317901" w:rsidRDefault="00C46AB2" w:rsidP="00C46AB2">
      <w:pPr>
        <w:spacing w:after="200"/>
        <w:rPr>
          <w:b/>
          <w:bCs/>
          <w:iCs/>
        </w:rPr>
      </w:pPr>
      <w:r w:rsidRPr="00317901">
        <w:rPr>
          <w:b/>
          <w:bCs/>
          <w:iCs/>
        </w:rPr>
        <w:t>Derivation of the incremental dose-efficacy parameter</w:t>
      </w:r>
    </w:p>
    <w:p w14:paraId="18B5DF91" w14:textId="77777777" w:rsidR="00C46AB2" w:rsidRPr="00317901" w:rsidRDefault="00C46AB2" w:rsidP="00C46AB2">
      <w:pPr>
        <w:spacing w:after="200"/>
        <w:rPr>
          <w:iCs/>
        </w:rPr>
      </w:pPr>
      <w:r w:rsidRPr="00317901">
        <w:rPr>
          <w:iCs/>
        </w:rPr>
        <w:t xml:space="preserve">The incremental dose-efficacy parameter (IDE) represents the additional proportional reduction in malaria attributable to raising the dose from 200 to 400 ug/kg. It cannot be estimated directly, because no trial has compared the two doses </w:t>
      </w:r>
      <w:proofErr w:type="gramStart"/>
      <w:r w:rsidRPr="00317901">
        <w:rPr>
          <w:iCs/>
        </w:rPr>
        <w:t>head to head</w:t>
      </w:r>
      <w:proofErr w:type="gramEnd"/>
      <w:r w:rsidRPr="00317901">
        <w:rPr>
          <w:iCs/>
        </w:rPr>
        <w:t>.</w:t>
      </w:r>
    </w:p>
    <w:p w14:paraId="144E83A9" w14:textId="379D9B0F" w:rsidR="00C46AB2" w:rsidRPr="00317901" w:rsidRDefault="00C46AB2" w:rsidP="00C46AB2">
      <w:pPr>
        <w:spacing w:after="200"/>
        <w:rPr>
          <w:iCs/>
        </w:rPr>
      </w:pPr>
      <w:r w:rsidRPr="00317901">
        <w:rPr>
          <w:iCs/>
        </w:rPr>
        <w:t>Its central value was anchored on the BOHEMIA cluster-randomised trial in Kenya</w:t>
      </w:r>
      <w:r w:rsidR="002A305E" w:rsidRPr="00317901">
        <w:rPr>
          <w:iCs/>
        </w:rPr>
        <w:t xml:space="preserve"> </w:t>
      </w:r>
      <w:r w:rsidR="002A305E" w:rsidRPr="00317901">
        <w:rPr>
          <w:iCs/>
        </w:rPr>
        <w:fldChar w:fldCharType="begin"/>
      </w:r>
      <w:r w:rsidR="002A305E" w:rsidRPr="00317901">
        <w:rPr>
          <w:iCs/>
        </w:rPr>
        <w:instrText xml:space="preserve"> ADDIN ZOTERO_ITEM CSL_CITATION {"citationID":"0V2kdXxn","properties":{"unsorted":false,"formattedCitation":"(5)","plainCitation":"(5)","noteIndex":0},"citationItems":[{"id":328,"uris":["http://zotero.org/users/18906319/items/BTAHLPND"],"itemData":{"id":328,"type":"article-journal","abstract":"Ivermectin is an antiparasitic drug that kills mosquitoes feeding on treated persons. In this trial in Kenya, ivermectin given once per month for 3 months led to a 26% lower incidence of malaria than albendazole.","container-title":"New England Journal of Medicine","DOI":"10.1056/NEJMoa2411262","ISSN":"0028-4793","issue":"4","note":"_eprint: https://www.nejm.org/doi/pdf/10.1056/NEJMoa2411262","page":"362-375","publisher":"Massachusetts Medical Society","source":"Taylor and Francis+NEJM","title":"Ivermectin to Control Malaria — A Cluster-Randomized Trial","volume":"393","author":[{"family":"Chaccour","given":"Carlos"},{"family":"Maia","given":"Marta"},{"family":"Kariuki","given":"Mercy"},{"family":"Ruiz-Castillo","given":"Paula"},{"family":"Wanjiku","given":"Caroline"},{"family":"Kasiwa","given":"Lydia"},{"family":"Brazeal","given":"Aurelia"},{"family":"Casellas","given":"Aina"},{"family":"Ngama","given":"Mwanajuma"},{"family":"Onyango","given":"Truphena"},{"family":"Elobolobo","given":"Eldo"},{"family":"Kazungu","given":"Karisa"},{"family":"Mael","given":"Mary"},{"family":"Wangari","given":"Winnie"},{"family":"Nuru","given":"Khadija"},{"family":"Otuko","given":"Rachel"},{"family":"Sanz","given":"Almudena"},{"family":"Ringera","given":"Isaac"},{"family":"Matano","given":"Allan"},{"family":"Mitora","given":"Starford"},{"family":"Ribes","given":"Marta"},{"family":"Brew","given":"Joe"},{"family":"Gorski","given":"Nika"},{"family":"Nicolas","given":"Patricia"},{"family":"Stanulovic","given":"Sara"},{"family":"Omondi","given":"Isaiah"},{"family":"Furnival-Adams","given":"Joanna"},{"family":"Túnez","given":"Laura"},{"family":"Mbarak","given":"Jamal"},{"family":"Vegove","given":"Vegovito"},{"family":"Yaa","given":"Esther"},{"family":"Mramba","given":"Shadrack"},{"family":"Kibet","given":"Yegon"},{"family":"Nyambura","given":"Naomi"},{"family":"Rotich","given":"Charles"},{"family":"Wanjiru","given":"Scholastica"},{"family":"Vura","given":"Musa"},{"family":"Wanjiku","given":"Faith"},{"family":"Sam","given":"Leslie"},{"family":"Collins","given":"Lisa"},{"family":"Xia","given":"Kang"},{"family":"Hammann","given":"Felix"},{"family":"Saúte","given":"Francisco"},{"family":"Rudd","given":"Matthew"},{"family":"Rist","given":"Cassidy"},{"family":"Jones","given":"Caroline"},{"family":"Mwangangi","given":"Joseph"},{"family":"Rabinovich","given":"N. Regina"}],"issued":{"date-parts":[["2025",7,23]]}}}],"schema":"https://github.com/citation-style-language/schema/raw/master/csl-citation.json"} </w:instrText>
      </w:r>
      <w:r w:rsidR="002A305E" w:rsidRPr="00317901">
        <w:rPr>
          <w:iCs/>
        </w:rPr>
        <w:fldChar w:fldCharType="separate"/>
      </w:r>
      <w:r w:rsidR="002A305E" w:rsidRPr="00317901">
        <w:rPr>
          <w:iCs/>
          <w:noProof/>
        </w:rPr>
        <w:t>(5)</w:t>
      </w:r>
      <w:r w:rsidR="002A305E" w:rsidRPr="00317901">
        <w:rPr>
          <w:iCs/>
        </w:rPr>
        <w:fldChar w:fldCharType="end"/>
      </w:r>
      <w:r w:rsidRPr="00317901">
        <w:rPr>
          <w:iCs/>
        </w:rPr>
        <w:t xml:space="preserve">, in which a single monthly dose of ivermectin at 400 ug/kg administered over three months reduced malaria infection incidence in children by 26% relative to an albendazole control, which a companion pharmacokinetic study confirmed to have no </w:t>
      </w:r>
      <w:proofErr w:type="spellStart"/>
      <w:r w:rsidRPr="00317901">
        <w:rPr>
          <w:iCs/>
        </w:rPr>
        <w:t>mosquitocidal</w:t>
      </w:r>
      <w:proofErr w:type="spellEnd"/>
      <w:r w:rsidRPr="00317901">
        <w:rPr>
          <w:iCs/>
        </w:rPr>
        <w:t xml:space="preserve"> activity. No trial has demonstrated a significant transmission effect at the standard 150-200 ug/kg dose. The incremental effect of escalation is therefore bounded above by the total observed effect of the higher dose and below by zero, and IDE was varied across this interval rather than fixed at a point estimate.</w:t>
      </w:r>
    </w:p>
    <w:p w14:paraId="231DB6E6" w14:textId="18F20DD2" w:rsidR="00C46AB2" w:rsidRPr="00317901" w:rsidRDefault="00C46AB2" w:rsidP="00C46AB2">
      <w:pPr>
        <w:spacing w:after="200"/>
        <w:rPr>
          <w:iCs/>
        </w:rPr>
      </w:pPr>
      <w:r w:rsidRPr="00317901">
        <w:rPr>
          <w:iCs/>
        </w:rPr>
        <w:t>Because IDE enters the model multiplicatively and scales the entire malaria benefit, it dominates every outcome. All sensitivity analyses were therefore structured around it, as described in S</w:t>
      </w:r>
      <w:r w:rsidR="002A305E" w:rsidRPr="00317901">
        <w:rPr>
          <w:iCs/>
        </w:rPr>
        <w:t>4 Text</w:t>
      </w:r>
      <w:r w:rsidRPr="00317901">
        <w:rPr>
          <w:iCs/>
        </w:rPr>
        <w:t>.</w:t>
      </w:r>
    </w:p>
    <w:p w14:paraId="1622E0E3" w14:textId="77777777" w:rsidR="00796B25" w:rsidRDefault="00796B25" w:rsidP="00796B25">
      <w:pPr>
        <w:spacing w:after="200"/>
        <w:rPr>
          <w:iCs/>
          <w:sz w:val="26"/>
          <w:szCs w:val="26"/>
        </w:rPr>
      </w:pPr>
    </w:p>
    <w:p w14:paraId="2B431578" w14:textId="77777777" w:rsidR="005C2315" w:rsidRDefault="005C2315" w:rsidP="00796B25">
      <w:pPr>
        <w:spacing w:after="200"/>
        <w:rPr>
          <w:iCs/>
          <w:sz w:val="26"/>
          <w:szCs w:val="26"/>
        </w:rPr>
      </w:pPr>
    </w:p>
    <w:p w14:paraId="2F10270A" w14:textId="77777777" w:rsidR="005C2315" w:rsidRDefault="005C2315" w:rsidP="00796B25">
      <w:pPr>
        <w:spacing w:after="200"/>
        <w:rPr>
          <w:iCs/>
          <w:sz w:val="26"/>
          <w:szCs w:val="26"/>
        </w:rPr>
      </w:pPr>
    </w:p>
    <w:p w14:paraId="078F63F4" w14:textId="77777777" w:rsidR="005C2315" w:rsidRDefault="005C2315" w:rsidP="00796B25">
      <w:pPr>
        <w:spacing w:after="200"/>
        <w:rPr>
          <w:iCs/>
          <w:sz w:val="26"/>
          <w:szCs w:val="26"/>
        </w:rPr>
      </w:pPr>
    </w:p>
    <w:p w14:paraId="7065DB22" w14:textId="77777777" w:rsidR="00371DCB" w:rsidRDefault="00371DCB" w:rsidP="00796B25">
      <w:pPr>
        <w:spacing w:after="200"/>
        <w:rPr>
          <w:iCs/>
          <w:sz w:val="26"/>
          <w:szCs w:val="26"/>
        </w:rPr>
      </w:pPr>
    </w:p>
    <w:p w14:paraId="0500A798" w14:textId="77777777" w:rsidR="002A305E" w:rsidRDefault="002A305E" w:rsidP="00796B25">
      <w:pPr>
        <w:spacing w:after="200"/>
        <w:rPr>
          <w:iCs/>
          <w:sz w:val="26"/>
          <w:szCs w:val="26"/>
        </w:rPr>
      </w:pPr>
    </w:p>
    <w:p w14:paraId="3E5C3F2C" w14:textId="77777777" w:rsidR="002A305E" w:rsidRDefault="002A305E" w:rsidP="00796B25">
      <w:pPr>
        <w:spacing w:after="200"/>
        <w:rPr>
          <w:iCs/>
          <w:sz w:val="26"/>
          <w:szCs w:val="26"/>
        </w:rPr>
      </w:pPr>
    </w:p>
    <w:p w14:paraId="636C316C" w14:textId="77777777" w:rsidR="002A305E" w:rsidRDefault="002A305E" w:rsidP="00796B25">
      <w:pPr>
        <w:spacing w:after="200"/>
        <w:rPr>
          <w:iCs/>
          <w:sz w:val="26"/>
          <w:szCs w:val="26"/>
        </w:rPr>
      </w:pPr>
    </w:p>
    <w:p w14:paraId="43FD1DF8" w14:textId="77777777" w:rsidR="002A305E" w:rsidRDefault="002A305E" w:rsidP="00796B25">
      <w:pPr>
        <w:spacing w:after="200"/>
        <w:rPr>
          <w:iCs/>
          <w:sz w:val="26"/>
          <w:szCs w:val="26"/>
        </w:rPr>
      </w:pPr>
    </w:p>
    <w:p w14:paraId="6E4EE85F" w14:textId="77777777" w:rsidR="00C46AB2" w:rsidRDefault="00C46AB2" w:rsidP="00C46AB2">
      <w:pPr>
        <w:rPr>
          <w:rFonts w:asciiTheme="majorHAnsi" w:eastAsiaTheme="majorEastAsia" w:hAnsiTheme="majorHAnsi" w:cstheme="majorBidi"/>
          <w:color w:val="0F4761" w:themeColor="accent1" w:themeShade="BF"/>
          <w:sz w:val="32"/>
          <w:szCs w:val="32"/>
        </w:rPr>
      </w:pPr>
    </w:p>
    <w:p w14:paraId="7A668361" w14:textId="47B5880D" w:rsidR="00371DCB" w:rsidRDefault="00371DCB" w:rsidP="00371DCB">
      <w:pPr>
        <w:pStyle w:val="Heading2"/>
      </w:pPr>
      <w:r>
        <w:lastRenderedPageBreak/>
        <w:t>References</w:t>
      </w:r>
    </w:p>
    <w:p w14:paraId="77AEBD8E" w14:textId="77777777" w:rsidR="005C2315" w:rsidRDefault="005C2315" w:rsidP="00796B25">
      <w:pPr>
        <w:spacing w:after="200"/>
        <w:rPr>
          <w:iCs/>
          <w:sz w:val="26"/>
          <w:szCs w:val="26"/>
        </w:rPr>
      </w:pPr>
    </w:p>
    <w:p w14:paraId="6477A844" w14:textId="77777777" w:rsidR="002A305E" w:rsidRPr="002A305E" w:rsidRDefault="005C2315" w:rsidP="002A305E">
      <w:pPr>
        <w:pStyle w:val="Bibliography"/>
        <w:rPr>
          <w:sz w:val="26"/>
          <w:lang w:eastAsia="en-US"/>
        </w:rPr>
      </w:pPr>
      <w:r>
        <w:rPr>
          <w:iCs/>
          <w:sz w:val="26"/>
          <w:szCs w:val="26"/>
        </w:rPr>
        <w:fldChar w:fldCharType="begin"/>
      </w:r>
      <w:r w:rsidR="00C46AB2">
        <w:rPr>
          <w:iCs/>
          <w:sz w:val="26"/>
          <w:szCs w:val="26"/>
        </w:rPr>
        <w:instrText xml:space="preserve"> ADDIN ZOTERO_BIBL {"uncited":[],"omitted":[],"custom":[]} CSL_BIBLIOGRAPHY </w:instrText>
      </w:r>
      <w:r>
        <w:rPr>
          <w:iCs/>
          <w:sz w:val="26"/>
          <w:szCs w:val="26"/>
        </w:rPr>
        <w:fldChar w:fldCharType="separate"/>
      </w:r>
      <w:r w:rsidR="002A305E" w:rsidRPr="002A305E">
        <w:rPr>
          <w:sz w:val="26"/>
          <w:lang w:eastAsia="en-US"/>
        </w:rPr>
        <w:t>1.</w:t>
      </w:r>
      <w:r w:rsidR="002A305E" w:rsidRPr="002A305E">
        <w:rPr>
          <w:sz w:val="26"/>
          <w:lang w:eastAsia="en-US"/>
        </w:rPr>
        <w:tab/>
        <w:t>Power BI Report [Internet]. [cited 2026 Aug 5]. Available from: https://app.powerbi.com/view?r=eyJrIjoiYzM0Y2ZjYzMtOGNmZC00NmEwLWFjYmQtYmUwYzgyYzEzNjlkIiwidCI6Ijc3NDEwMTk1LTE0ZTEtNGZiOC05MDRiLWFiMTg5MjAyMzY2NyIsImMiOjh9</w:t>
      </w:r>
    </w:p>
    <w:p w14:paraId="5D7F1BE8" w14:textId="77777777" w:rsidR="002A305E" w:rsidRPr="002A305E" w:rsidRDefault="002A305E" w:rsidP="002A305E">
      <w:pPr>
        <w:pStyle w:val="Bibliography"/>
        <w:rPr>
          <w:sz w:val="26"/>
          <w:lang w:eastAsia="en-US"/>
        </w:rPr>
      </w:pPr>
      <w:r w:rsidRPr="002A305E">
        <w:rPr>
          <w:sz w:val="26"/>
          <w:lang w:eastAsia="en-US"/>
        </w:rPr>
        <w:t>2.</w:t>
      </w:r>
      <w:r w:rsidRPr="002A305E">
        <w:rPr>
          <w:sz w:val="26"/>
          <w:lang w:eastAsia="en-US"/>
        </w:rPr>
        <w:tab/>
        <w:t>International Medical Products Price Guide. Management Sciences for Health [Internet]. [cited 2026 Aug 5]. Available from: https://msh.org/resources/international-medical-products-price-guide-2/</w:t>
      </w:r>
    </w:p>
    <w:p w14:paraId="705E8000" w14:textId="77777777" w:rsidR="002A305E" w:rsidRPr="002A305E" w:rsidRDefault="002A305E" w:rsidP="002A305E">
      <w:pPr>
        <w:pStyle w:val="Bibliography"/>
        <w:rPr>
          <w:sz w:val="26"/>
          <w:lang w:eastAsia="en-US"/>
        </w:rPr>
      </w:pPr>
      <w:r w:rsidRPr="002A305E">
        <w:rPr>
          <w:sz w:val="26"/>
          <w:lang w:eastAsia="en-US"/>
        </w:rPr>
        <w:t>3.</w:t>
      </w:r>
      <w:r w:rsidRPr="002A305E">
        <w:rPr>
          <w:sz w:val="26"/>
          <w:lang w:eastAsia="en-US"/>
        </w:rPr>
        <w:tab/>
        <w:t>Galactionova K, Velarde M, Silumbe K, Miller J, McDonnell A, Aguas R, et al. Costing malaria interventions from pilots to elimination programmes. Malar J. 2020 Sep 14;19:332. doi:10.1186/s12936-020-03405-3 PubMed PMID: 32928227; PubMed Central PMCID: PMC7491157.</w:t>
      </w:r>
    </w:p>
    <w:p w14:paraId="74616F57" w14:textId="77777777" w:rsidR="002A305E" w:rsidRPr="002A305E" w:rsidRDefault="002A305E" w:rsidP="002A305E">
      <w:pPr>
        <w:pStyle w:val="Bibliography"/>
        <w:rPr>
          <w:sz w:val="26"/>
          <w:lang w:eastAsia="en-US"/>
        </w:rPr>
      </w:pPr>
      <w:r w:rsidRPr="002A305E">
        <w:rPr>
          <w:sz w:val="26"/>
          <w:lang w:eastAsia="en-US"/>
        </w:rPr>
        <w:t>4.</w:t>
      </w:r>
      <w:r w:rsidRPr="002A305E">
        <w:rPr>
          <w:sz w:val="26"/>
          <w:lang w:eastAsia="en-US"/>
        </w:rPr>
        <w:tab/>
        <w:t>Shretta R. Operational Challenges of Implementing Multiple First-Line Therapies for Malaria in Endemic Countries.</w:t>
      </w:r>
    </w:p>
    <w:p w14:paraId="58F959A9" w14:textId="77777777" w:rsidR="002A305E" w:rsidRPr="002A305E" w:rsidRDefault="002A305E" w:rsidP="002A305E">
      <w:pPr>
        <w:pStyle w:val="Bibliography"/>
        <w:rPr>
          <w:sz w:val="26"/>
          <w:lang w:eastAsia="en-US"/>
        </w:rPr>
      </w:pPr>
      <w:r w:rsidRPr="002A305E">
        <w:rPr>
          <w:sz w:val="26"/>
          <w:lang w:eastAsia="en-US"/>
        </w:rPr>
        <w:t>5.</w:t>
      </w:r>
      <w:r w:rsidRPr="002A305E">
        <w:rPr>
          <w:sz w:val="26"/>
          <w:lang w:eastAsia="en-US"/>
        </w:rPr>
        <w:tab/>
        <w:t>Chaccour C, Maia M, Kariuki M, Ruiz-Castillo P, Wanjiku C, Kasiwa L, et al. Ivermectin to Control Malaria — A Cluster-Randomized Trial. N Engl J Med. 2025 Jul 23;393(4):362–75. doi:10.1056/NEJMoa2411262</w:t>
      </w:r>
    </w:p>
    <w:p w14:paraId="4BEF82F9" w14:textId="4DE86DFC" w:rsidR="00BB5FFA" w:rsidRPr="00BB5FFA" w:rsidRDefault="005C2315" w:rsidP="002A305E">
      <w:pPr>
        <w:pStyle w:val="Bibliography"/>
        <w:rPr>
          <w:iCs/>
          <w:sz w:val="26"/>
          <w:szCs w:val="26"/>
        </w:rPr>
      </w:pPr>
      <w:r>
        <w:rPr>
          <w:iCs/>
          <w:sz w:val="26"/>
          <w:szCs w:val="26"/>
        </w:rPr>
        <w:fldChar w:fldCharType="end"/>
      </w:r>
    </w:p>
    <w:p w14:paraId="2BFCAFD0" w14:textId="3E806545" w:rsidR="00796B25" w:rsidRPr="00796B25" w:rsidRDefault="00796B25" w:rsidP="00DB2D04">
      <w:pPr>
        <w:pStyle w:val="Bibliography"/>
        <w:ind w:left="0" w:firstLine="0"/>
        <w:rPr>
          <w:iCs/>
          <w:sz w:val="26"/>
          <w:szCs w:val="26"/>
        </w:rPr>
      </w:pPr>
    </w:p>
    <w:sectPr w:rsidR="00796B25" w:rsidRPr="00796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043"/>
    <w:rsid w:val="00044B99"/>
    <w:rsid w:val="00071732"/>
    <w:rsid w:val="00091043"/>
    <w:rsid w:val="001B7FDF"/>
    <w:rsid w:val="002A305E"/>
    <w:rsid w:val="00307906"/>
    <w:rsid w:val="00317901"/>
    <w:rsid w:val="0032423A"/>
    <w:rsid w:val="003433DD"/>
    <w:rsid w:val="00371DCB"/>
    <w:rsid w:val="00435334"/>
    <w:rsid w:val="00471196"/>
    <w:rsid w:val="00587588"/>
    <w:rsid w:val="005A679C"/>
    <w:rsid w:val="005C2315"/>
    <w:rsid w:val="005E2D3D"/>
    <w:rsid w:val="00676828"/>
    <w:rsid w:val="00685355"/>
    <w:rsid w:val="006D33BC"/>
    <w:rsid w:val="00721F13"/>
    <w:rsid w:val="007438FB"/>
    <w:rsid w:val="0076675A"/>
    <w:rsid w:val="00782F7B"/>
    <w:rsid w:val="00796B25"/>
    <w:rsid w:val="0080115B"/>
    <w:rsid w:val="009F53D3"/>
    <w:rsid w:val="00A0185D"/>
    <w:rsid w:val="00AF09B0"/>
    <w:rsid w:val="00B256F8"/>
    <w:rsid w:val="00B55651"/>
    <w:rsid w:val="00BB5FFA"/>
    <w:rsid w:val="00C0780D"/>
    <w:rsid w:val="00C46AB2"/>
    <w:rsid w:val="00DB2D04"/>
    <w:rsid w:val="00E32EB9"/>
    <w:rsid w:val="00F31C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70A88F7"/>
  <w15:chartTrackingRefBased/>
  <w15:docId w15:val="{E8074BFE-9FD5-2C44-8BBE-0BA41FDBC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AB2"/>
    <w:pPr>
      <w:spacing w:after="0" w:line="240" w:lineRule="auto"/>
    </w:pPr>
    <w:rPr>
      <w:rFonts w:ascii="Calibri" w:eastAsia="Calibri" w:hAnsi="Calibri" w:cs="Calibri"/>
      <w:kern w:val="0"/>
      <w:sz w:val="22"/>
      <w:szCs w:val="22"/>
      <w:lang w:eastAsia="en-GB"/>
      <w14:ligatures w14:val="none"/>
    </w:rPr>
  </w:style>
  <w:style w:type="paragraph" w:styleId="Heading1">
    <w:name w:val="heading 1"/>
    <w:basedOn w:val="Normal"/>
    <w:next w:val="Normal"/>
    <w:link w:val="Heading1Char"/>
    <w:uiPriority w:val="9"/>
    <w:qFormat/>
    <w:rsid w:val="000910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1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10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0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0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0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0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0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0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0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10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10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0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043"/>
    <w:rPr>
      <w:rFonts w:eastAsiaTheme="majorEastAsia" w:cstheme="majorBidi"/>
      <w:color w:val="272727" w:themeColor="text1" w:themeTint="D8"/>
    </w:rPr>
  </w:style>
  <w:style w:type="paragraph" w:styleId="Title">
    <w:name w:val="Title"/>
    <w:basedOn w:val="Normal"/>
    <w:next w:val="Normal"/>
    <w:link w:val="TitleChar"/>
    <w:uiPriority w:val="10"/>
    <w:qFormat/>
    <w:rsid w:val="000910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043"/>
    <w:pPr>
      <w:spacing w:before="160"/>
      <w:jc w:val="center"/>
    </w:pPr>
    <w:rPr>
      <w:i/>
      <w:iCs/>
      <w:color w:val="404040" w:themeColor="text1" w:themeTint="BF"/>
    </w:rPr>
  </w:style>
  <w:style w:type="character" w:customStyle="1" w:styleId="QuoteChar">
    <w:name w:val="Quote Char"/>
    <w:basedOn w:val="DefaultParagraphFont"/>
    <w:link w:val="Quote"/>
    <w:uiPriority w:val="29"/>
    <w:rsid w:val="00091043"/>
    <w:rPr>
      <w:i/>
      <w:iCs/>
      <w:color w:val="404040" w:themeColor="text1" w:themeTint="BF"/>
    </w:rPr>
  </w:style>
  <w:style w:type="paragraph" w:styleId="ListParagraph">
    <w:name w:val="List Paragraph"/>
    <w:basedOn w:val="Normal"/>
    <w:uiPriority w:val="34"/>
    <w:qFormat/>
    <w:rsid w:val="00091043"/>
    <w:pPr>
      <w:ind w:left="720"/>
      <w:contextualSpacing/>
    </w:pPr>
  </w:style>
  <w:style w:type="character" w:styleId="IntenseEmphasis">
    <w:name w:val="Intense Emphasis"/>
    <w:basedOn w:val="DefaultParagraphFont"/>
    <w:uiPriority w:val="21"/>
    <w:qFormat/>
    <w:rsid w:val="00091043"/>
    <w:rPr>
      <w:i/>
      <w:iCs/>
      <w:color w:val="0F4761" w:themeColor="accent1" w:themeShade="BF"/>
    </w:rPr>
  </w:style>
  <w:style w:type="paragraph" w:styleId="IntenseQuote">
    <w:name w:val="Intense Quote"/>
    <w:basedOn w:val="Normal"/>
    <w:next w:val="Normal"/>
    <w:link w:val="IntenseQuoteChar"/>
    <w:uiPriority w:val="30"/>
    <w:qFormat/>
    <w:rsid w:val="00091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043"/>
    <w:rPr>
      <w:i/>
      <w:iCs/>
      <w:color w:val="0F4761" w:themeColor="accent1" w:themeShade="BF"/>
    </w:rPr>
  </w:style>
  <w:style w:type="character" w:styleId="IntenseReference">
    <w:name w:val="Intense Reference"/>
    <w:basedOn w:val="DefaultParagraphFont"/>
    <w:uiPriority w:val="32"/>
    <w:qFormat/>
    <w:rsid w:val="00091043"/>
    <w:rPr>
      <w:b/>
      <w:bCs/>
      <w:smallCaps/>
      <w:color w:val="0F4761" w:themeColor="accent1" w:themeShade="BF"/>
      <w:spacing w:val="5"/>
    </w:rPr>
  </w:style>
  <w:style w:type="table" w:styleId="TableGrid">
    <w:name w:val="Table Grid"/>
    <w:basedOn w:val="TableNormal"/>
    <w:uiPriority w:val="39"/>
    <w:rsid w:val="00782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82F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82F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5C2315"/>
    <w:pPr>
      <w:tabs>
        <w:tab w:val="left" w:pos="260"/>
      </w:tabs>
      <w:spacing w:after="240"/>
      <w:ind w:left="264" w:hanging="264"/>
    </w:pPr>
  </w:style>
  <w:style w:type="character" w:styleId="Hyperlink">
    <w:name w:val="Hyperlink"/>
    <w:basedOn w:val="DefaultParagraphFont"/>
    <w:uiPriority w:val="99"/>
    <w:unhideWhenUsed/>
    <w:rsid w:val="005C2315"/>
    <w:rPr>
      <w:color w:val="467886" w:themeColor="hyperlink"/>
      <w:u w:val="single"/>
    </w:rPr>
  </w:style>
  <w:style w:type="character" w:styleId="UnresolvedMention">
    <w:name w:val="Unresolved Mention"/>
    <w:basedOn w:val="DefaultParagraphFont"/>
    <w:uiPriority w:val="99"/>
    <w:semiHidden/>
    <w:unhideWhenUsed/>
    <w:rsid w:val="005C2315"/>
    <w:rPr>
      <w:color w:val="605E5C"/>
      <w:shd w:val="clear" w:color="auto" w:fill="E1DFDD"/>
    </w:rPr>
  </w:style>
  <w:style w:type="table" w:styleId="PlainTable3">
    <w:name w:val="Plain Table 3"/>
    <w:basedOn w:val="TableNormal"/>
    <w:uiPriority w:val="43"/>
    <w:rsid w:val="00C46AB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46A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3">
    <w:name w:val="Grid Table 1 Light Accent 3"/>
    <w:basedOn w:val="TableNormal"/>
    <w:uiPriority w:val="46"/>
    <w:rsid w:val="00C46AB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2782</Words>
  <Characters>15858</Characters>
  <Application>Microsoft Office Word</Application>
  <DocSecurity>0</DocSecurity>
  <Lines>132</Lines>
  <Paragraphs>37</Paragraphs>
  <ScaleCrop>false</ScaleCrop>
  <Company/>
  <LinksUpToDate>false</LinksUpToDate>
  <CharactersWithSpaces>18603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Prabhleen Kaur</dc:creator>
  <cp:keywords/>
  <dc:description/>
  <cp:lastModifiedBy>Prabhleen Kaur</cp:lastModifiedBy>
  <cp:revision>18</cp:revision>
  <dcterms:created xsi:type="dcterms:W3CDTF">2026-08-04T23:09:00Z</dcterms:created>
  <dcterms:modified xsi:type="dcterms:W3CDTF">2026-08-06T15:16:00Z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id="jcnhUAZl"/&gt;&lt;style id="http://www.zotero.org/styles/nlm-citation-sequence" locale="en-GB"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