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198B20" w14:textId="06A814F9" w:rsidR="00091043" w:rsidRDefault="00091043" w:rsidP="00091043">
      <w:pPr>
        <w:pStyle w:val="Heading2"/>
      </w:pPr>
      <w:r>
        <w:t>Supplementary M</w:t>
      </w:r>
      <w:r>
        <w:t>ethods</w:t>
      </w:r>
    </w:p>
    <w:p w14:paraId="21A76C3B" w14:textId="77777777" w:rsidR="00091043" w:rsidRDefault="00091043" w:rsidP="00091043">
      <w:pPr>
        <w:spacing w:after="200"/>
        <w:rPr>
          <w:sz w:val="26"/>
          <w:szCs w:val="26"/>
        </w:rPr>
      </w:pPr>
    </w:p>
    <w:p w14:paraId="54DC213C" w14:textId="478259C8" w:rsidR="00471196" w:rsidRDefault="00091043" w:rsidP="00471196">
      <w:pPr>
        <w:pStyle w:val="Heading3"/>
      </w:pPr>
      <w:r>
        <w:t>S</w:t>
      </w:r>
      <w:r w:rsidR="005568CA">
        <w:t>6</w:t>
      </w:r>
      <w:r w:rsidR="00F31C15">
        <w:t xml:space="preserve">: </w:t>
      </w:r>
      <w:r w:rsidR="005568CA">
        <w:t>Model code and analysis pipeline</w:t>
      </w:r>
    </w:p>
    <w:p w14:paraId="30B25729" w14:textId="77777777" w:rsidR="00471196" w:rsidRDefault="00471196" w:rsidP="00471196"/>
    <w:p w14:paraId="35D6CA69" w14:textId="627E3EBA" w:rsidR="005568CA" w:rsidRPr="005568CA" w:rsidRDefault="005568CA" w:rsidP="005568CA">
      <w:pPr>
        <w:spacing w:after="120"/>
        <w:jc w:val="both"/>
      </w:pPr>
      <w:r>
        <w:t>The model is implemented</w:t>
      </w:r>
      <w:r>
        <w:t xml:space="preserve"> </w:t>
      </w:r>
      <w:r>
        <w:t>in R version 4.5.1 (R Core Team, 2025) using RStudio 2026.06.0.</w:t>
      </w:r>
      <w:r>
        <w:t>242</w:t>
      </w:r>
      <w:r>
        <w:t xml:space="preserve"> and released as an </w:t>
      </w:r>
      <w:proofErr w:type="gramStart"/>
      <w:r>
        <w:t>open-source</w:t>
      </w:r>
      <w:proofErr w:type="gramEnd"/>
      <w:r>
        <w:t xml:space="preserve"> </w:t>
      </w:r>
      <w:hyperlink r:id="rId4" w:history="1">
        <w:r w:rsidRPr="00A775CC">
          <w:rPr>
            <w:rStyle w:val="Hyperlink"/>
          </w:rPr>
          <w:t>rep</w:t>
        </w:r>
        <w:r w:rsidRPr="00A775CC">
          <w:rPr>
            <w:rStyle w:val="Hyperlink"/>
          </w:rPr>
          <w:t>o</w:t>
        </w:r>
        <w:r w:rsidRPr="00A775CC">
          <w:rPr>
            <w:rStyle w:val="Hyperlink"/>
          </w:rPr>
          <w:t>sitory</w:t>
        </w:r>
      </w:hyperlink>
      <w:r w:rsidR="00A775CC" w:rsidRPr="00A775CC">
        <w:rPr>
          <w:color w:val="000000" w:themeColor="text1"/>
        </w:rPr>
        <w:t xml:space="preserve">. </w:t>
      </w:r>
      <w:proofErr w:type="spellStart"/>
      <w:r>
        <w:t>This</w:t>
      </w:r>
      <w:proofErr w:type="spellEnd"/>
      <w:r>
        <w:t xml:space="preserve"> section describes the structure of the codebase, the order in which scripts are run, and what each </w:t>
      </w:r>
      <w:proofErr w:type="gramStart"/>
      <w:r>
        <w:t>produces</w:t>
      </w:r>
      <w:proofErr w:type="gramEnd"/>
      <w:r>
        <w:t>, so that the analysis can be followed and reproduced without reading the source. A README in the repository gives installation instructions and the commands required to run the pipeline.</w:t>
      </w:r>
    </w:p>
    <w:p w14:paraId="3930CA4E" w14:textId="77777777" w:rsidR="005568CA" w:rsidRPr="005568CA" w:rsidRDefault="005568CA" w:rsidP="005568CA">
      <w:pPr>
        <w:spacing w:after="200"/>
        <w:rPr>
          <w:b/>
          <w:bCs/>
          <w:sz w:val="24"/>
          <w:szCs w:val="24"/>
        </w:rPr>
      </w:pPr>
      <w:r w:rsidRPr="005568CA">
        <w:rPr>
          <w:b/>
          <w:bCs/>
          <w:sz w:val="24"/>
          <w:szCs w:val="24"/>
        </w:rPr>
        <w:t>Structure of the codebase</w:t>
      </w:r>
    </w:p>
    <w:p w14:paraId="1FCDD241" w14:textId="1CAAAA48" w:rsidR="005568CA" w:rsidRPr="005568CA" w:rsidRDefault="005568CA" w:rsidP="005568CA">
      <w:pPr>
        <w:spacing w:after="200"/>
      </w:pPr>
      <w:r w:rsidRPr="005568CA">
        <w:t>The analysis comprises t</w:t>
      </w:r>
      <w:r>
        <w:t>welve</w:t>
      </w:r>
      <w:r w:rsidRPr="005568CA">
        <w:t xml:space="preserve"> scripts. One defines the model, one records how the input data were assembled, and the remainder perform the scenario, sensitivity and spatial analyses. Every analytical script begins by sourcing the model definition, so each can be run independently once its inputs exist.</w:t>
      </w:r>
    </w:p>
    <w:p w14:paraId="3607B8C4" w14:textId="77777777" w:rsidR="005568CA" w:rsidRPr="005568CA" w:rsidRDefault="005568CA" w:rsidP="005568CA">
      <w:pPr>
        <w:spacing w:after="200"/>
      </w:pPr>
      <w:r w:rsidRPr="005568CA">
        <w:t>Two conventions govern the code. Model functions take the region-level data and a parameter list as their two arguments, so adding a data column never requires changes elsewhere. Parameters are modified only through a constructor function rather than by editing defaults directly, which ensures that dependent quantities remain internally consistent: the DALY burden per serious adverse event, for example, is recomputed whenever the case-fatality ratio is varied.</w:t>
      </w:r>
    </w:p>
    <w:p w14:paraId="2F5FCF10" w14:textId="77777777" w:rsidR="005568CA" w:rsidRPr="005568CA" w:rsidRDefault="005568CA" w:rsidP="005568CA">
      <w:pPr>
        <w:spacing w:after="200"/>
        <w:rPr>
          <w:b/>
          <w:bCs/>
          <w:sz w:val="24"/>
          <w:szCs w:val="24"/>
        </w:rPr>
      </w:pPr>
      <w:r w:rsidRPr="005568CA">
        <w:rPr>
          <w:b/>
          <w:bCs/>
          <w:sz w:val="24"/>
          <w:szCs w:val="24"/>
        </w:rPr>
        <w:t>Input data</w:t>
      </w:r>
    </w:p>
    <w:p w14:paraId="09975EE0" w14:textId="77777777" w:rsidR="005568CA" w:rsidRPr="005568CA" w:rsidRDefault="005568CA" w:rsidP="005568CA">
      <w:pPr>
        <w:spacing w:after="200"/>
      </w:pPr>
      <w:r w:rsidRPr="005568CA">
        <w:t xml:space="preserve">All region-level inputs are held in a single workbook. Its first sheet contains one row per first-level administrative unit, giving ivermectin coverage, population, Loa </w:t>
      </w:r>
      <w:proofErr w:type="spellStart"/>
      <w:r w:rsidRPr="005568CA">
        <w:t>loa</w:t>
      </w:r>
      <w:proofErr w:type="spellEnd"/>
      <w:r w:rsidRPr="005568CA">
        <w:t xml:space="preserve"> prevalence, malaria burden, treatment unit costs, DALY weights and programme transition cost. The second sheet holds country-level salaries and fuel prices, and the third the reference values and per-country build-up used to derive planning costs. Boundary shapefiles for country and admin-1 units are stored separately and used only for mapping.</w:t>
      </w:r>
    </w:p>
    <w:p w14:paraId="26567EBB" w14:textId="77777777" w:rsidR="005568CA" w:rsidRPr="005568CA" w:rsidRDefault="005568CA" w:rsidP="005568CA">
      <w:pPr>
        <w:spacing w:after="200"/>
        <w:rPr>
          <w:b/>
          <w:bCs/>
          <w:sz w:val="24"/>
          <w:szCs w:val="24"/>
        </w:rPr>
      </w:pPr>
      <w:r w:rsidRPr="005568CA">
        <w:rPr>
          <w:b/>
          <w:bCs/>
          <w:sz w:val="24"/>
          <w:szCs w:val="24"/>
        </w:rPr>
        <w:t>The model</w:t>
      </w:r>
    </w:p>
    <w:p w14:paraId="5F4892E4" w14:textId="77777777" w:rsidR="005568CA" w:rsidRPr="005568CA" w:rsidRDefault="005568CA" w:rsidP="005568CA">
      <w:pPr>
        <w:spacing w:after="200"/>
      </w:pPr>
      <w:r w:rsidRPr="005568CA">
        <w:rPr>
          <w:b/>
          <w:bCs/>
        </w:rPr>
        <w:t>00_model_</w:t>
      </w:r>
      <w:proofErr w:type="gramStart"/>
      <w:r w:rsidRPr="005568CA">
        <w:rPr>
          <w:b/>
          <w:bCs/>
        </w:rPr>
        <w:t>setup.R</w:t>
      </w:r>
      <w:proofErr w:type="gramEnd"/>
      <w:r w:rsidRPr="005568CA">
        <w:rPr>
          <w:b/>
          <w:bCs/>
        </w:rPr>
        <w:t xml:space="preserve">  </w:t>
      </w:r>
      <w:r w:rsidRPr="005568CA">
        <w:t>loads and cleans the workbook, derives quantities used throughout (numbers treated, coverage, absolute case counts), attaches the per-region planning and programme costs, and defines the model itself. Four functions are specified: an epidemiological function returning malaria cases averted and DALYs gained; two harm functions returning incremental mild and serious adverse events with their DALY consequences; and a costing function returning incremental costs, averted-treatment savings, net cost, net DALYs and the incremental cost-effectiveness ratio. A fifth function assembles the parameter set for any given run, applying overrides and recomputing derived parameters. This script is sourced by every other script and is not run on its own.</w:t>
      </w:r>
    </w:p>
    <w:p w14:paraId="47ABA6E3" w14:textId="77777777" w:rsidR="005568CA" w:rsidRPr="005568CA" w:rsidRDefault="005568CA" w:rsidP="005568CA">
      <w:pPr>
        <w:spacing w:after="200"/>
      </w:pPr>
      <w:r w:rsidRPr="005568CA">
        <w:rPr>
          <w:b/>
          <w:bCs/>
        </w:rPr>
        <w:t>01_</w:t>
      </w:r>
      <w:proofErr w:type="gramStart"/>
      <w:r w:rsidRPr="005568CA">
        <w:rPr>
          <w:b/>
          <w:bCs/>
        </w:rPr>
        <w:t>model.R</w:t>
      </w:r>
      <w:proofErr w:type="gramEnd"/>
      <w:r w:rsidRPr="005568CA">
        <w:rPr>
          <w:b/>
          <w:bCs/>
        </w:rPr>
        <w:t xml:space="preserve">  </w:t>
      </w:r>
      <w:r w:rsidRPr="005568CA">
        <w:t>runs the model at base-case parameter values across all regions and aggregates to a programme total. It produces the coverage-effectiveness curve with the observed regional coverage overlaid, and per-region diagnostic figures. This script should be run first.</w:t>
      </w:r>
    </w:p>
    <w:p w14:paraId="5FFD5876" w14:textId="77777777" w:rsidR="005568CA" w:rsidRDefault="005568CA" w:rsidP="005568CA">
      <w:pPr>
        <w:pStyle w:val="Bibliography"/>
        <w:rPr>
          <w:b/>
          <w:bCs/>
          <w:iCs/>
          <w:sz w:val="24"/>
          <w:szCs w:val="24"/>
        </w:rPr>
      </w:pPr>
      <w:r w:rsidRPr="005568CA">
        <w:rPr>
          <w:b/>
          <w:bCs/>
          <w:iCs/>
          <w:sz w:val="24"/>
          <w:szCs w:val="24"/>
        </w:rPr>
        <w:t>Scenario analyses</w:t>
      </w:r>
    </w:p>
    <w:p w14:paraId="27DCF9B8" w14:textId="2CFCAD3C" w:rsidR="005568CA" w:rsidRPr="005568CA" w:rsidRDefault="005568CA" w:rsidP="005568CA">
      <w:pPr>
        <w:rPr>
          <w:iCs/>
        </w:rPr>
      </w:pPr>
      <w:r w:rsidRPr="005568CA">
        <w:rPr>
          <w:iCs/>
        </w:rPr>
        <w:lastRenderedPageBreak/>
        <w:t>Three scenarios each combine an internally consistent set of efficacy, harm and cost assumptions.</w:t>
      </w:r>
      <w:r>
        <w:rPr>
          <w:iCs/>
        </w:rPr>
        <w:t xml:space="preserve"> </w:t>
      </w:r>
      <w:proofErr w:type="gramStart"/>
      <w:r w:rsidRPr="005568CA">
        <w:rPr>
          <w:iCs/>
        </w:rPr>
        <w:t>Because</w:t>
      </w:r>
      <w:proofErr w:type="gramEnd"/>
      <w:r w:rsidRPr="005568CA">
        <w:rPr>
          <w:iCs/>
        </w:rPr>
        <w:t xml:space="preserve"> published intervals were unavailable for most parameters, ranges were derived by partitioning each parameter's plausible interval rather than by fixed percentage variation.</w:t>
      </w:r>
    </w:p>
    <w:p w14:paraId="4FBF9F5A" w14:textId="16752A1B" w:rsidR="005568CA" w:rsidRPr="005568CA" w:rsidRDefault="005568CA" w:rsidP="005568CA"/>
    <w:p w14:paraId="0D1AD3E3" w14:textId="77777777" w:rsidR="005568CA" w:rsidRPr="005568CA" w:rsidRDefault="005568CA" w:rsidP="005568CA">
      <w:pPr>
        <w:pStyle w:val="Bibliography"/>
        <w:rPr>
          <w:iCs/>
        </w:rPr>
      </w:pPr>
      <w:r w:rsidRPr="005568CA">
        <w:rPr>
          <w:b/>
          <w:bCs/>
          <w:iCs/>
        </w:rPr>
        <w:t>02_optimistic_</w:t>
      </w:r>
      <w:proofErr w:type="gramStart"/>
      <w:r w:rsidRPr="005568CA">
        <w:rPr>
          <w:b/>
          <w:bCs/>
          <w:iCs/>
        </w:rPr>
        <w:t>scenario.R</w:t>
      </w:r>
      <w:proofErr w:type="gramEnd"/>
      <w:r w:rsidRPr="005568CA">
        <w:rPr>
          <w:b/>
          <w:bCs/>
          <w:iCs/>
        </w:rPr>
        <w:t xml:space="preserve">  </w:t>
      </w:r>
      <w:r w:rsidRPr="005568CA">
        <w:rPr>
          <w:iCs/>
        </w:rPr>
        <w:t>applies planning costs only, with no programme transition cost and the drug donated. Produces the scenario base case, a probabilistic analysis of 5,000 draws, and a cost-effectiveness acceptability curve.</w:t>
      </w:r>
    </w:p>
    <w:p w14:paraId="593F6010" w14:textId="63FB9459" w:rsidR="005568CA" w:rsidRPr="005568CA" w:rsidRDefault="005568CA" w:rsidP="005568CA">
      <w:pPr>
        <w:pStyle w:val="Bibliography"/>
        <w:rPr>
          <w:iCs/>
        </w:rPr>
      </w:pPr>
      <w:r w:rsidRPr="005568CA">
        <w:rPr>
          <w:b/>
          <w:bCs/>
          <w:iCs/>
        </w:rPr>
        <w:t>03_realistic_</w:t>
      </w:r>
      <w:proofErr w:type="gramStart"/>
      <w:r w:rsidRPr="005568CA">
        <w:rPr>
          <w:b/>
          <w:bCs/>
          <w:iCs/>
        </w:rPr>
        <w:t>scenario.R</w:t>
      </w:r>
      <w:proofErr w:type="gramEnd"/>
      <w:r w:rsidRPr="005568CA">
        <w:rPr>
          <w:b/>
          <w:bCs/>
          <w:iCs/>
        </w:rPr>
        <w:t xml:space="preserve">  </w:t>
      </w:r>
      <w:r w:rsidRPr="005568CA">
        <w:rPr>
          <w:iCs/>
        </w:rPr>
        <w:t>applies both planning and programme costs. Produces the same outputs, together with the heatmaps of net benefit across coverage and malaria burden</w:t>
      </w:r>
      <w:r>
        <w:rPr>
          <w:iCs/>
        </w:rPr>
        <w:t xml:space="preserve"> and coverage and loa </w:t>
      </w:r>
      <w:proofErr w:type="spellStart"/>
      <w:r>
        <w:rPr>
          <w:iCs/>
        </w:rPr>
        <w:t>loa</w:t>
      </w:r>
      <w:proofErr w:type="spellEnd"/>
      <w:r>
        <w:rPr>
          <w:iCs/>
        </w:rPr>
        <w:t xml:space="preserve"> prevalence</w:t>
      </w:r>
      <w:r w:rsidRPr="005568CA">
        <w:rPr>
          <w:iCs/>
        </w:rPr>
        <w:t>.</w:t>
      </w:r>
    </w:p>
    <w:p w14:paraId="6F553348" w14:textId="4FCC4267" w:rsidR="005568CA" w:rsidRPr="005568CA" w:rsidRDefault="005568CA" w:rsidP="005568CA">
      <w:pPr>
        <w:pStyle w:val="Bibliography"/>
        <w:rPr>
          <w:iCs/>
        </w:rPr>
      </w:pPr>
      <w:r w:rsidRPr="005568CA">
        <w:rPr>
          <w:b/>
          <w:bCs/>
          <w:iCs/>
        </w:rPr>
        <w:t>04_pessimistic_</w:t>
      </w:r>
      <w:proofErr w:type="gramStart"/>
      <w:r w:rsidRPr="005568CA">
        <w:rPr>
          <w:b/>
          <w:bCs/>
          <w:iCs/>
        </w:rPr>
        <w:t>scenario.R</w:t>
      </w:r>
      <w:proofErr w:type="gramEnd"/>
      <w:r w:rsidRPr="005568CA">
        <w:rPr>
          <w:b/>
          <w:bCs/>
          <w:iCs/>
        </w:rPr>
        <w:t xml:space="preserve">  </w:t>
      </w:r>
      <w:r w:rsidRPr="005568CA">
        <w:rPr>
          <w:iCs/>
        </w:rPr>
        <w:t>applies both cost streams at higher multipliers and adds an incremental drug cost, on the assumption that donation does not extend to the additional dose.</w:t>
      </w:r>
      <w:r>
        <w:rPr>
          <w:iCs/>
        </w:rPr>
        <w:t xml:space="preserve"> Produces same outputs as above.</w:t>
      </w:r>
    </w:p>
    <w:p w14:paraId="41DC9055" w14:textId="6EF08E10" w:rsidR="00D4164B" w:rsidRDefault="005568CA" w:rsidP="00D4164B">
      <w:pPr>
        <w:pStyle w:val="Bibliography"/>
        <w:rPr>
          <w:iCs/>
        </w:rPr>
      </w:pPr>
      <w:r w:rsidRPr="005568CA">
        <w:rPr>
          <w:b/>
          <w:bCs/>
          <w:iCs/>
        </w:rPr>
        <w:t>05_subnational_scenario_</w:t>
      </w:r>
      <w:proofErr w:type="gramStart"/>
      <w:r w:rsidRPr="005568CA">
        <w:rPr>
          <w:b/>
          <w:bCs/>
          <w:iCs/>
        </w:rPr>
        <w:t>outputs.R</w:t>
      </w:r>
      <w:proofErr w:type="gramEnd"/>
      <w:r w:rsidRPr="005568CA">
        <w:rPr>
          <w:b/>
          <w:bCs/>
          <w:iCs/>
        </w:rPr>
        <w:t xml:space="preserve">  </w:t>
      </w:r>
      <w:r w:rsidRPr="005568CA">
        <w:rPr>
          <w:iCs/>
        </w:rPr>
        <w:t xml:space="preserve">the pivotal script in the pipeline. It first isolates the effect of cost assumptions by holding clinical parameters fixed across scenarios, so that differences between scenarios are attributable to cost alone. It then runs the probabilistic analysis at region level for all three scenarios, producing per-region distributions of net monetary benefit. </w:t>
      </w:r>
      <w:r w:rsidR="00D4164B" w:rsidRPr="00D4164B">
        <w:rPr>
          <w:iCs/>
        </w:rPr>
        <w:t>It also generates the per-country boxplot figures. For every region the whole probabilistic distribution of net monetary benefit is retained rather than only its summary statistics, and one figure is written per country, with regions on the vertical axis ordered from lowest to highest realistic-scenario net benefit and the three scenarios dodged side by side within each region</w:t>
      </w:r>
      <w:r w:rsidR="00D4164B">
        <w:rPr>
          <w:iCs/>
        </w:rPr>
        <w:t>. I</w:t>
      </w:r>
      <w:r w:rsidR="00D4164B" w:rsidRPr="00D4164B">
        <w:rPr>
          <w:iCs/>
        </w:rPr>
        <w:t>t writes the unified file of programme-level draws that serves as the single source of truth for all probabilistic results, together with the scenario summary table and the counts of net-beneficial regions. It must be run before the cross-scenario comparison</w:t>
      </w:r>
      <w:r w:rsidR="00086C21">
        <w:rPr>
          <w:iCs/>
        </w:rPr>
        <w:t xml:space="preserve"> (06)</w:t>
      </w:r>
      <w:r w:rsidR="00D4164B" w:rsidRPr="00D4164B">
        <w:rPr>
          <w:iCs/>
        </w:rPr>
        <w:t xml:space="preserve"> and the maps</w:t>
      </w:r>
      <w:r w:rsidR="00086C21">
        <w:rPr>
          <w:iCs/>
        </w:rPr>
        <w:t xml:space="preserve"> (09)</w:t>
      </w:r>
      <w:r w:rsidR="00D4164B" w:rsidRPr="00D4164B">
        <w:rPr>
          <w:iCs/>
        </w:rPr>
        <w:t>.</w:t>
      </w:r>
    </w:p>
    <w:p w14:paraId="54B21159" w14:textId="77777777" w:rsidR="005568CA" w:rsidRPr="005568CA" w:rsidRDefault="005568CA" w:rsidP="005568CA">
      <w:pPr>
        <w:pStyle w:val="Bibliography"/>
        <w:rPr>
          <w:iCs/>
        </w:rPr>
      </w:pPr>
      <w:r w:rsidRPr="005568CA">
        <w:rPr>
          <w:b/>
          <w:bCs/>
          <w:iCs/>
        </w:rPr>
        <w:t>06_scenario_</w:t>
      </w:r>
      <w:proofErr w:type="gramStart"/>
      <w:r w:rsidRPr="005568CA">
        <w:rPr>
          <w:b/>
          <w:bCs/>
          <w:iCs/>
        </w:rPr>
        <w:t>comparison.R</w:t>
      </w:r>
      <w:proofErr w:type="gramEnd"/>
      <w:r w:rsidRPr="005568CA">
        <w:rPr>
          <w:b/>
          <w:bCs/>
          <w:iCs/>
        </w:rPr>
        <w:t xml:space="preserve">  </w:t>
      </w:r>
      <w:r w:rsidRPr="005568CA">
        <w:rPr>
          <w:iCs/>
        </w:rPr>
        <w:t>reads the unified draws and produces the cross-scenario figures: a combined acceptability curve, a forest plot of net cost and net DALYs by scenario, and densities of incremental net monetary benefit.</w:t>
      </w:r>
    </w:p>
    <w:p w14:paraId="76C83B5C" w14:textId="77777777" w:rsidR="00D4164B" w:rsidRDefault="00D4164B" w:rsidP="00D4164B">
      <w:pPr>
        <w:pStyle w:val="Bibliography"/>
        <w:rPr>
          <w:b/>
          <w:bCs/>
          <w:iCs/>
          <w:sz w:val="24"/>
          <w:szCs w:val="24"/>
        </w:rPr>
      </w:pPr>
      <w:r w:rsidRPr="00D4164B">
        <w:rPr>
          <w:b/>
          <w:bCs/>
          <w:iCs/>
          <w:sz w:val="24"/>
          <w:szCs w:val="24"/>
        </w:rPr>
        <w:t>Sensitivity analyses</w:t>
      </w:r>
    </w:p>
    <w:p w14:paraId="14C17495" w14:textId="77777777" w:rsidR="00D4164B" w:rsidRPr="00D4164B" w:rsidRDefault="00D4164B" w:rsidP="00D4164B">
      <w:pPr>
        <w:rPr>
          <w:iCs/>
        </w:rPr>
      </w:pPr>
      <w:r w:rsidRPr="00D4164B">
        <w:rPr>
          <w:iCs/>
        </w:rPr>
        <w:t xml:space="preserve">Deterministic sensitivity analysis is conducted independently of the scenario structure. Sensitivity to a parameter is a property of the model rather than of any </w:t>
      </w:r>
      <w:proofErr w:type="gramStart"/>
      <w:r w:rsidRPr="00D4164B">
        <w:rPr>
          <w:iCs/>
        </w:rPr>
        <w:t>particular set</w:t>
      </w:r>
      <w:proofErr w:type="gramEnd"/>
      <w:r w:rsidRPr="00D4164B">
        <w:rPr>
          <w:iCs/>
        </w:rPr>
        <w:t xml:space="preserve"> of assumptions, so each parameter is varied across the full range spanned by all three scenarios, with the remainder held at a single central base case.</w:t>
      </w:r>
    </w:p>
    <w:p w14:paraId="77D3D5E4" w14:textId="77777777" w:rsidR="00D4164B" w:rsidRPr="00D4164B" w:rsidRDefault="00D4164B" w:rsidP="00D4164B"/>
    <w:p w14:paraId="0A0ADD69" w14:textId="77777777" w:rsidR="00D4164B" w:rsidRPr="00D4164B" w:rsidRDefault="00D4164B" w:rsidP="00D4164B">
      <w:pPr>
        <w:pStyle w:val="Bibliography"/>
        <w:rPr>
          <w:iCs/>
        </w:rPr>
      </w:pPr>
      <w:r w:rsidRPr="00D4164B">
        <w:rPr>
          <w:b/>
          <w:bCs/>
          <w:iCs/>
        </w:rPr>
        <w:t>03b_global_oneway_</w:t>
      </w:r>
      <w:proofErr w:type="gramStart"/>
      <w:r w:rsidRPr="00D4164B">
        <w:rPr>
          <w:b/>
          <w:bCs/>
          <w:iCs/>
        </w:rPr>
        <w:t>sensitivity.R</w:t>
      </w:r>
      <w:proofErr w:type="gramEnd"/>
      <w:r w:rsidRPr="00D4164B">
        <w:rPr>
          <w:b/>
          <w:bCs/>
          <w:iCs/>
        </w:rPr>
        <w:t xml:space="preserve">  </w:t>
      </w:r>
      <w:r w:rsidRPr="00D4164B">
        <w:rPr>
          <w:iCs/>
        </w:rPr>
        <w:t>varies each parameter in turn across its full range and reports the effect on net cost, net DALYs and net monetary benefit as tornado diagrams. It then repeats the analysis with incremental dose efficacy held fixed at successive levels, expressing results as percentage change from the base case at each level, so that the influence of the remaining parameters can be ranked independently of efficacy and any change in that influence with efficacy can be read directly.</w:t>
      </w:r>
    </w:p>
    <w:p w14:paraId="5DDCB0FA" w14:textId="77777777" w:rsidR="00D4164B" w:rsidRPr="00D4164B" w:rsidRDefault="00D4164B" w:rsidP="00D4164B">
      <w:pPr>
        <w:pStyle w:val="Bibliography"/>
        <w:rPr>
          <w:iCs/>
        </w:rPr>
      </w:pPr>
      <w:r w:rsidRPr="00D4164B">
        <w:rPr>
          <w:b/>
          <w:bCs/>
          <w:iCs/>
        </w:rPr>
        <w:t>07_multivariate_</w:t>
      </w:r>
      <w:proofErr w:type="gramStart"/>
      <w:r w:rsidRPr="00D4164B">
        <w:rPr>
          <w:b/>
          <w:bCs/>
          <w:iCs/>
        </w:rPr>
        <w:t>sensitivity.R</w:t>
      </w:r>
      <w:proofErr w:type="gramEnd"/>
      <w:r w:rsidRPr="00D4164B">
        <w:rPr>
          <w:b/>
          <w:bCs/>
          <w:iCs/>
        </w:rPr>
        <w:t xml:space="preserve">  </w:t>
      </w:r>
      <w:r w:rsidRPr="00D4164B">
        <w:rPr>
          <w:iCs/>
        </w:rPr>
        <w:t>evaluates a full factorial grid over all uncertain parameters. Each parameter in turn is held at each of its levels while all others vary across the grid, so the resulting distribution shows the influence of that parameter against the combined variation contributed by the rest. Unlike the one-way analysis this is not conditioned on efficacy; efficacy appears as one parameter among the others, and the output is a ranking of relative influence.</w:t>
      </w:r>
    </w:p>
    <w:p w14:paraId="2BFCAFD0" w14:textId="19090D0A" w:rsidR="00796B25" w:rsidRDefault="00D4164B" w:rsidP="00086C21">
      <w:pPr>
        <w:pStyle w:val="Bibliography"/>
        <w:rPr>
          <w:iCs/>
        </w:rPr>
      </w:pPr>
      <w:r w:rsidRPr="00D4164B">
        <w:rPr>
          <w:b/>
          <w:bCs/>
          <w:iCs/>
        </w:rPr>
        <w:lastRenderedPageBreak/>
        <w:t>08_ide_response_</w:t>
      </w:r>
      <w:proofErr w:type="gramStart"/>
      <w:r w:rsidRPr="00D4164B">
        <w:rPr>
          <w:b/>
          <w:bCs/>
          <w:iCs/>
        </w:rPr>
        <w:t>curve.R</w:t>
      </w:r>
      <w:proofErr w:type="gramEnd"/>
      <w:r w:rsidRPr="00D4164B">
        <w:rPr>
          <w:b/>
          <w:bCs/>
          <w:iCs/>
        </w:rPr>
        <w:t xml:space="preserve">  </w:t>
      </w:r>
      <w:r w:rsidRPr="00D4164B">
        <w:rPr>
          <w:iCs/>
        </w:rPr>
        <w:t xml:space="preserve">sweeps incremental dose efficacy upward from zero with all other parameters at their scenario-central </w:t>
      </w:r>
      <w:proofErr w:type="gramStart"/>
      <w:r w:rsidRPr="00D4164B">
        <w:rPr>
          <w:iCs/>
        </w:rPr>
        <w:t>values, and</w:t>
      </w:r>
      <w:proofErr w:type="gramEnd"/>
      <w:r w:rsidRPr="00D4164B">
        <w:rPr>
          <w:iCs/>
        </w:rPr>
        <w:t xml:space="preserve"> locates the point at which net monetary benefit crosses zero in each scenario. Because coverage does not vary with efficacy, the relationship between efficacy and cases averted is exactly linear, and the figures carry a secondary axis expressing the same sweep as the number of malaria cases averted </w:t>
      </w:r>
      <w:proofErr w:type="gramStart"/>
      <w:r w:rsidRPr="00D4164B">
        <w:rPr>
          <w:iCs/>
        </w:rPr>
        <w:t>programme-wide</w:t>
      </w:r>
      <w:proofErr w:type="gramEnd"/>
      <w:r w:rsidRPr="00D4164B">
        <w:rPr>
          <w:iCs/>
        </w:rPr>
        <w:t>.</w:t>
      </w:r>
    </w:p>
    <w:p w14:paraId="668CF4D3" w14:textId="77777777" w:rsidR="00086C21" w:rsidRPr="00086C21" w:rsidRDefault="00086C21" w:rsidP="00086C21">
      <w:pPr>
        <w:rPr>
          <w:b/>
          <w:bCs/>
          <w:sz w:val="24"/>
          <w:szCs w:val="24"/>
        </w:rPr>
      </w:pPr>
      <w:r w:rsidRPr="00086C21">
        <w:rPr>
          <w:b/>
          <w:bCs/>
          <w:sz w:val="24"/>
          <w:szCs w:val="24"/>
        </w:rPr>
        <w:t>Spatial and determinant analyses</w:t>
      </w:r>
    </w:p>
    <w:p w14:paraId="76C9FE70" w14:textId="77777777" w:rsidR="00086C21" w:rsidRPr="00086C21" w:rsidRDefault="00086C21" w:rsidP="00086C21"/>
    <w:p w14:paraId="4899264F" w14:textId="77777777" w:rsidR="00086C21" w:rsidRDefault="00086C21" w:rsidP="00086C21">
      <w:r w:rsidRPr="00086C21">
        <w:rPr>
          <w:b/>
          <w:bCs/>
        </w:rPr>
        <w:t>09_nmb_</w:t>
      </w:r>
      <w:proofErr w:type="gramStart"/>
      <w:r w:rsidRPr="00086C21">
        <w:rPr>
          <w:b/>
          <w:bCs/>
        </w:rPr>
        <w:t>maps.R</w:t>
      </w:r>
      <w:proofErr w:type="gramEnd"/>
      <w:r w:rsidRPr="00086C21">
        <w:rPr>
          <w:b/>
          <w:bCs/>
        </w:rPr>
        <w:t xml:space="preserve">  </w:t>
      </w:r>
      <w:r w:rsidRPr="00086C21">
        <w:t>joins regional results to admin-1 boundaries and produces choropleth maps. Region names are reconciled between the treatment data, the burden data and the shapefile by accent-stripping, case-folding and removal of non-alphanumeric characters, with a manual crosswalk for the remainder. Maps are produced for median net monetary benefit under each scenario and at the bounds of its uncertainty interval, and separately for malaria incidence and ivermectin coverage so that the spatial relationship between net benefit and its principal drivers can be read directly.</w:t>
      </w:r>
    </w:p>
    <w:p w14:paraId="7C0C922C" w14:textId="77777777" w:rsidR="00086C21" w:rsidRPr="00086C21" w:rsidRDefault="00086C21" w:rsidP="00086C21"/>
    <w:p w14:paraId="365F6E81" w14:textId="77777777" w:rsidR="00086C21" w:rsidRDefault="00086C21" w:rsidP="00086C21">
      <w:r w:rsidRPr="00086C21">
        <w:rPr>
          <w:b/>
          <w:bCs/>
        </w:rPr>
        <w:t>10_epi_</w:t>
      </w:r>
      <w:proofErr w:type="gramStart"/>
      <w:r w:rsidRPr="00086C21">
        <w:rPr>
          <w:b/>
          <w:bCs/>
        </w:rPr>
        <w:t>drivers.R</w:t>
      </w:r>
      <w:proofErr w:type="gramEnd"/>
      <w:r w:rsidRPr="00086C21">
        <w:rPr>
          <w:b/>
          <w:bCs/>
        </w:rPr>
        <w:t xml:space="preserve">  </w:t>
      </w:r>
      <w:r w:rsidRPr="00086C21">
        <w:t xml:space="preserve">examines what determines whether a region is </w:t>
      </w:r>
      <w:proofErr w:type="gramStart"/>
      <w:r w:rsidRPr="00086C21">
        <w:t>net-beneficial</w:t>
      </w:r>
      <w:proofErr w:type="gramEnd"/>
      <w:r w:rsidRPr="00086C21">
        <w:t xml:space="preserve">. Regions are labelled by whether median net monetary benefit exceeds zero, and prediction from four candidate determinants — coverage, malaria incidence, Loa </w:t>
      </w:r>
      <w:proofErr w:type="spellStart"/>
      <w:r w:rsidRPr="00086C21">
        <w:t>loa</w:t>
      </w:r>
      <w:proofErr w:type="spellEnd"/>
      <w:r w:rsidRPr="00086C21">
        <w:t xml:space="preserve"> prevalence and delivery cost per person treated — is assessed using linear and quadratic discriminant analysis and a random forest, compared under identical repeated cross-validation. A shallow classification tree extracts an interpretable decision rule, and partial dependence plots show the shape of each relationship. Ternary plots position each region by its relative rank on three covariates simultaneously, with net monetary benefit shown as banded colour. Because delivery costs enter the cost function additively and do not affect net DALYs, a break-even delivery cost per person is derived for any combination of coverage and incidence.</w:t>
      </w:r>
    </w:p>
    <w:p w14:paraId="36C2065F" w14:textId="77777777" w:rsidR="00A831D7" w:rsidRPr="00086C21" w:rsidRDefault="00A831D7" w:rsidP="00086C21"/>
    <w:p w14:paraId="08CB3BC1" w14:textId="77777777" w:rsidR="00A831D7" w:rsidRDefault="00A831D7" w:rsidP="00A831D7">
      <w:pPr>
        <w:rPr>
          <w:b/>
          <w:bCs/>
          <w:sz w:val="24"/>
          <w:szCs w:val="24"/>
        </w:rPr>
      </w:pPr>
      <w:r w:rsidRPr="00A831D7">
        <w:rPr>
          <w:b/>
          <w:bCs/>
          <w:sz w:val="24"/>
          <w:szCs w:val="24"/>
        </w:rPr>
        <w:t>Order of execution</w:t>
      </w:r>
    </w:p>
    <w:p w14:paraId="2C11AF60" w14:textId="77777777" w:rsidR="00A831D7" w:rsidRPr="00A831D7" w:rsidRDefault="00A831D7" w:rsidP="00A831D7">
      <w:pPr>
        <w:rPr>
          <w:b/>
          <w:bCs/>
          <w:sz w:val="24"/>
          <w:szCs w:val="24"/>
        </w:rPr>
      </w:pPr>
    </w:p>
    <w:p w14:paraId="77C01F72" w14:textId="77777777" w:rsidR="00A831D7" w:rsidRDefault="00A831D7" w:rsidP="00A831D7">
      <w:pPr>
        <w:spacing w:after="120"/>
        <w:jc w:val="both"/>
      </w:pPr>
      <w:r>
        <w:t>Only three ordering constraints apply. The core model script is run first. The per-region probabilistic script must precede the cross-scenario comparison and the maps, because it writes the unified draws on which both depend. All remaining scripts are independent of one another and may be run in any order.</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3400"/>
      </w:tblGrid>
      <w:tr w:rsidR="00A831D7" w14:paraId="3202ACE4" w14:textId="77777777" w:rsidTr="00702C90">
        <w:tblPrEx>
          <w:tblCellMar>
            <w:top w:w="0" w:type="dxa"/>
            <w:bottom w:w="0" w:type="dxa"/>
          </w:tblCellMar>
        </w:tblPrEx>
        <w:trPr>
          <w:tblHeader/>
        </w:trPr>
        <w:tc>
          <w:tcPr>
            <w:tcW w:w="2200" w:type="dxa"/>
            <w:shd w:val="clear" w:color="auto" w:fill="D9D9D9"/>
            <w:tcMar>
              <w:top w:w="60" w:type="dxa"/>
              <w:left w:w="90" w:type="dxa"/>
              <w:bottom w:w="60" w:type="dxa"/>
              <w:right w:w="90" w:type="dxa"/>
            </w:tcMar>
          </w:tcPr>
          <w:p w14:paraId="20834B6E" w14:textId="77777777" w:rsidR="00A831D7" w:rsidRDefault="00A831D7" w:rsidP="00702C90">
            <w:r>
              <w:rPr>
                <w:b/>
                <w:bCs/>
                <w:sz w:val="19"/>
                <w:szCs w:val="19"/>
              </w:rPr>
              <w:t>Stage</w:t>
            </w:r>
          </w:p>
        </w:tc>
        <w:tc>
          <w:tcPr>
            <w:tcW w:w="2600" w:type="dxa"/>
            <w:shd w:val="clear" w:color="auto" w:fill="D9D9D9"/>
            <w:tcMar>
              <w:top w:w="60" w:type="dxa"/>
              <w:left w:w="90" w:type="dxa"/>
              <w:bottom w:w="60" w:type="dxa"/>
              <w:right w:w="90" w:type="dxa"/>
            </w:tcMar>
          </w:tcPr>
          <w:p w14:paraId="67F18DE8" w14:textId="77777777" w:rsidR="00A831D7" w:rsidRDefault="00A831D7" w:rsidP="00702C90">
            <w:r>
              <w:rPr>
                <w:b/>
                <w:bCs/>
                <w:sz w:val="19"/>
                <w:szCs w:val="19"/>
              </w:rPr>
              <w:t>Scripts</w:t>
            </w:r>
          </w:p>
        </w:tc>
        <w:tc>
          <w:tcPr>
            <w:tcW w:w="3400" w:type="dxa"/>
            <w:shd w:val="clear" w:color="auto" w:fill="D9D9D9"/>
            <w:tcMar>
              <w:top w:w="60" w:type="dxa"/>
              <w:left w:w="90" w:type="dxa"/>
              <w:bottom w:w="60" w:type="dxa"/>
              <w:right w:w="90" w:type="dxa"/>
            </w:tcMar>
          </w:tcPr>
          <w:p w14:paraId="38DDDA0B" w14:textId="77777777" w:rsidR="00A831D7" w:rsidRDefault="00A831D7" w:rsidP="00702C90">
            <w:r>
              <w:rPr>
                <w:b/>
                <w:bCs/>
                <w:sz w:val="19"/>
                <w:szCs w:val="19"/>
              </w:rPr>
              <w:t>Depends on</w:t>
            </w:r>
          </w:p>
        </w:tc>
      </w:tr>
      <w:tr w:rsidR="00A831D7" w14:paraId="0A5D120F" w14:textId="77777777" w:rsidTr="00702C90">
        <w:tblPrEx>
          <w:tblCellMar>
            <w:top w:w="0" w:type="dxa"/>
            <w:bottom w:w="0" w:type="dxa"/>
          </w:tblCellMar>
        </w:tblPrEx>
        <w:tc>
          <w:tcPr>
            <w:tcW w:w="2200" w:type="dxa"/>
            <w:tcMar>
              <w:top w:w="60" w:type="dxa"/>
              <w:left w:w="90" w:type="dxa"/>
              <w:bottom w:w="60" w:type="dxa"/>
              <w:right w:w="90" w:type="dxa"/>
            </w:tcMar>
          </w:tcPr>
          <w:p w14:paraId="2BAF78F3" w14:textId="77777777" w:rsidR="00A831D7" w:rsidRDefault="00A831D7" w:rsidP="00702C90">
            <w:r>
              <w:rPr>
                <w:sz w:val="19"/>
                <w:szCs w:val="19"/>
              </w:rPr>
              <w:t>Model</w:t>
            </w:r>
          </w:p>
        </w:tc>
        <w:tc>
          <w:tcPr>
            <w:tcW w:w="2600" w:type="dxa"/>
            <w:tcMar>
              <w:top w:w="60" w:type="dxa"/>
              <w:left w:w="90" w:type="dxa"/>
              <w:bottom w:w="60" w:type="dxa"/>
              <w:right w:w="90" w:type="dxa"/>
            </w:tcMar>
          </w:tcPr>
          <w:p w14:paraId="05BFDF1E" w14:textId="77777777" w:rsidR="00A831D7" w:rsidRDefault="00A831D7" w:rsidP="00702C90">
            <w:r>
              <w:rPr>
                <w:sz w:val="19"/>
                <w:szCs w:val="19"/>
              </w:rPr>
              <w:t>00_model_</w:t>
            </w:r>
            <w:proofErr w:type="gramStart"/>
            <w:r>
              <w:rPr>
                <w:sz w:val="19"/>
                <w:szCs w:val="19"/>
              </w:rPr>
              <w:t>setup.R</w:t>
            </w:r>
            <w:proofErr w:type="gramEnd"/>
          </w:p>
        </w:tc>
        <w:tc>
          <w:tcPr>
            <w:tcW w:w="3400" w:type="dxa"/>
            <w:tcMar>
              <w:top w:w="60" w:type="dxa"/>
              <w:left w:w="90" w:type="dxa"/>
              <w:bottom w:w="60" w:type="dxa"/>
              <w:right w:w="90" w:type="dxa"/>
            </w:tcMar>
          </w:tcPr>
          <w:p w14:paraId="2CDF3766" w14:textId="77777777" w:rsidR="00A831D7" w:rsidRDefault="00A831D7" w:rsidP="00702C90">
            <w:r>
              <w:rPr>
                <w:sz w:val="19"/>
                <w:szCs w:val="19"/>
              </w:rPr>
              <w:t>—</w:t>
            </w:r>
          </w:p>
        </w:tc>
      </w:tr>
      <w:tr w:rsidR="00A831D7" w14:paraId="1D3BED5B" w14:textId="77777777" w:rsidTr="00702C90">
        <w:tblPrEx>
          <w:tblCellMar>
            <w:top w:w="0" w:type="dxa"/>
            <w:bottom w:w="0" w:type="dxa"/>
          </w:tblCellMar>
        </w:tblPrEx>
        <w:tc>
          <w:tcPr>
            <w:tcW w:w="2200" w:type="dxa"/>
            <w:tcMar>
              <w:top w:w="60" w:type="dxa"/>
              <w:left w:w="90" w:type="dxa"/>
              <w:bottom w:w="60" w:type="dxa"/>
              <w:right w:w="90" w:type="dxa"/>
            </w:tcMar>
          </w:tcPr>
          <w:p w14:paraId="2F8A804C" w14:textId="77777777" w:rsidR="00A831D7" w:rsidRDefault="00A831D7" w:rsidP="00702C90">
            <w:r>
              <w:rPr>
                <w:sz w:val="19"/>
                <w:szCs w:val="19"/>
              </w:rPr>
              <w:t>Base case</w:t>
            </w:r>
          </w:p>
        </w:tc>
        <w:tc>
          <w:tcPr>
            <w:tcW w:w="2600" w:type="dxa"/>
            <w:tcMar>
              <w:top w:w="60" w:type="dxa"/>
              <w:left w:w="90" w:type="dxa"/>
              <w:bottom w:w="60" w:type="dxa"/>
              <w:right w:w="90" w:type="dxa"/>
            </w:tcMar>
          </w:tcPr>
          <w:p w14:paraId="6F68BBF2" w14:textId="77777777" w:rsidR="00A831D7" w:rsidRDefault="00A831D7" w:rsidP="00702C90">
            <w:r>
              <w:rPr>
                <w:sz w:val="19"/>
                <w:szCs w:val="19"/>
              </w:rPr>
              <w:t>01_</w:t>
            </w:r>
            <w:proofErr w:type="gramStart"/>
            <w:r>
              <w:rPr>
                <w:sz w:val="19"/>
                <w:szCs w:val="19"/>
              </w:rPr>
              <w:t>model.R</w:t>
            </w:r>
            <w:proofErr w:type="gramEnd"/>
          </w:p>
        </w:tc>
        <w:tc>
          <w:tcPr>
            <w:tcW w:w="3400" w:type="dxa"/>
            <w:tcMar>
              <w:top w:w="60" w:type="dxa"/>
              <w:left w:w="90" w:type="dxa"/>
              <w:bottom w:w="60" w:type="dxa"/>
              <w:right w:w="90" w:type="dxa"/>
            </w:tcMar>
          </w:tcPr>
          <w:p w14:paraId="1FFF390A" w14:textId="77777777" w:rsidR="00A831D7" w:rsidRDefault="00A831D7" w:rsidP="00702C90">
            <w:r>
              <w:rPr>
                <w:sz w:val="19"/>
                <w:szCs w:val="19"/>
              </w:rPr>
              <w:t>model</w:t>
            </w:r>
          </w:p>
        </w:tc>
      </w:tr>
      <w:tr w:rsidR="00A831D7" w14:paraId="1A1AF564" w14:textId="77777777" w:rsidTr="00702C90">
        <w:tblPrEx>
          <w:tblCellMar>
            <w:top w:w="0" w:type="dxa"/>
            <w:bottom w:w="0" w:type="dxa"/>
          </w:tblCellMar>
        </w:tblPrEx>
        <w:tc>
          <w:tcPr>
            <w:tcW w:w="2200" w:type="dxa"/>
            <w:tcMar>
              <w:top w:w="60" w:type="dxa"/>
              <w:left w:w="90" w:type="dxa"/>
              <w:bottom w:w="60" w:type="dxa"/>
              <w:right w:w="90" w:type="dxa"/>
            </w:tcMar>
          </w:tcPr>
          <w:p w14:paraId="1F0D82CB" w14:textId="77777777" w:rsidR="00A831D7" w:rsidRDefault="00A831D7" w:rsidP="00702C90">
            <w:r>
              <w:rPr>
                <w:sz w:val="19"/>
                <w:szCs w:val="19"/>
              </w:rPr>
              <w:t>Scenarios</w:t>
            </w:r>
          </w:p>
        </w:tc>
        <w:tc>
          <w:tcPr>
            <w:tcW w:w="2600" w:type="dxa"/>
            <w:tcMar>
              <w:top w:w="60" w:type="dxa"/>
              <w:left w:w="90" w:type="dxa"/>
              <w:bottom w:w="60" w:type="dxa"/>
              <w:right w:w="90" w:type="dxa"/>
            </w:tcMar>
          </w:tcPr>
          <w:p w14:paraId="645F6B34" w14:textId="77777777" w:rsidR="00A831D7" w:rsidRDefault="00A831D7" w:rsidP="00702C90">
            <w:r>
              <w:rPr>
                <w:sz w:val="19"/>
                <w:szCs w:val="19"/>
              </w:rPr>
              <w:t>02, 03, 04</w:t>
            </w:r>
          </w:p>
        </w:tc>
        <w:tc>
          <w:tcPr>
            <w:tcW w:w="3400" w:type="dxa"/>
            <w:tcMar>
              <w:top w:w="60" w:type="dxa"/>
              <w:left w:w="90" w:type="dxa"/>
              <w:bottom w:w="60" w:type="dxa"/>
              <w:right w:w="90" w:type="dxa"/>
            </w:tcMar>
          </w:tcPr>
          <w:p w14:paraId="3BA09257" w14:textId="77777777" w:rsidR="00A831D7" w:rsidRDefault="00A831D7" w:rsidP="00702C90">
            <w:r>
              <w:rPr>
                <w:sz w:val="19"/>
                <w:szCs w:val="19"/>
              </w:rPr>
              <w:t>model</w:t>
            </w:r>
          </w:p>
        </w:tc>
      </w:tr>
      <w:tr w:rsidR="00A831D7" w14:paraId="1BB233E2" w14:textId="77777777" w:rsidTr="00702C90">
        <w:tblPrEx>
          <w:tblCellMar>
            <w:top w:w="0" w:type="dxa"/>
            <w:bottom w:w="0" w:type="dxa"/>
          </w:tblCellMar>
        </w:tblPrEx>
        <w:tc>
          <w:tcPr>
            <w:tcW w:w="2200" w:type="dxa"/>
            <w:tcMar>
              <w:top w:w="60" w:type="dxa"/>
              <w:left w:w="90" w:type="dxa"/>
              <w:bottom w:w="60" w:type="dxa"/>
              <w:right w:w="90" w:type="dxa"/>
            </w:tcMar>
          </w:tcPr>
          <w:p w14:paraId="1744B261" w14:textId="77777777" w:rsidR="00A831D7" w:rsidRDefault="00A831D7" w:rsidP="00702C90">
            <w:r>
              <w:rPr>
                <w:sz w:val="19"/>
                <w:szCs w:val="19"/>
              </w:rPr>
              <w:t>Per-region probabilistic</w:t>
            </w:r>
          </w:p>
        </w:tc>
        <w:tc>
          <w:tcPr>
            <w:tcW w:w="2600" w:type="dxa"/>
            <w:tcMar>
              <w:top w:w="60" w:type="dxa"/>
              <w:left w:w="90" w:type="dxa"/>
              <w:bottom w:w="60" w:type="dxa"/>
              <w:right w:w="90" w:type="dxa"/>
            </w:tcMar>
          </w:tcPr>
          <w:p w14:paraId="417BFDCB" w14:textId="77777777" w:rsidR="00A831D7" w:rsidRDefault="00A831D7" w:rsidP="00702C90">
            <w:r>
              <w:rPr>
                <w:sz w:val="19"/>
                <w:szCs w:val="19"/>
              </w:rPr>
              <w:t>05</w:t>
            </w:r>
          </w:p>
        </w:tc>
        <w:tc>
          <w:tcPr>
            <w:tcW w:w="3400" w:type="dxa"/>
            <w:tcMar>
              <w:top w:w="60" w:type="dxa"/>
              <w:left w:w="90" w:type="dxa"/>
              <w:bottom w:w="60" w:type="dxa"/>
              <w:right w:w="90" w:type="dxa"/>
            </w:tcMar>
          </w:tcPr>
          <w:p w14:paraId="4CC42452" w14:textId="77777777" w:rsidR="00A831D7" w:rsidRDefault="00A831D7" w:rsidP="00702C90">
            <w:r>
              <w:rPr>
                <w:sz w:val="19"/>
                <w:szCs w:val="19"/>
              </w:rPr>
              <w:t>model</w:t>
            </w:r>
          </w:p>
        </w:tc>
      </w:tr>
      <w:tr w:rsidR="00A831D7" w14:paraId="026B6FB2" w14:textId="77777777" w:rsidTr="00702C90">
        <w:tblPrEx>
          <w:tblCellMar>
            <w:top w:w="0" w:type="dxa"/>
            <w:bottom w:w="0" w:type="dxa"/>
          </w:tblCellMar>
        </w:tblPrEx>
        <w:tc>
          <w:tcPr>
            <w:tcW w:w="2200" w:type="dxa"/>
            <w:tcMar>
              <w:top w:w="60" w:type="dxa"/>
              <w:left w:w="90" w:type="dxa"/>
              <w:bottom w:w="60" w:type="dxa"/>
              <w:right w:w="90" w:type="dxa"/>
            </w:tcMar>
          </w:tcPr>
          <w:p w14:paraId="1E7D33A1" w14:textId="77777777" w:rsidR="00A831D7" w:rsidRDefault="00A831D7" w:rsidP="00702C90">
            <w:r>
              <w:rPr>
                <w:sz w:val="19"/>
                <w:szCs w:val="19"/>
              </w:rPr>
              <w:t>Cross-scenario figures</w:t>
            </w:r>
          </w:p>
        </w:tc>
        <w:tc>
          <w:tcPr>
            <w:tcW w:w="2600" w:type="dxa"/>
            <w:tcMar>
              <w:top w:w="60" w:type="dxa"/>
              <w:left w:w="90" w:type="dxa"/>
              <w:bottom w:w="60" w:type="dxa"/>
              <w:right w:w="90" w:type="dxa"/>
            </w:tcMar>
          </w:tcPr>
          <w:p w14:paraId="443268C0" w14:textId="77777777" w:rsidR="00A831D7" w:rsidRDefault="00A831D7" w:rsidP="00702C90">
            <w:r>
              <w:rPr>
                <w:sz w:val="19"/>
                <w:szCs w:val="19"/>
              </w:rPr>
              <w:t>06</w:t>
            </w:r>
          </w:p>
        </w:tc>
        <w:tc>
          <w:tcPr>
            <w:tcW w:w="3400" w:type="dxa"/>
            <w:tcMar>
              <w:top w:w="60" w:type="dxa"/>
              <w:left w:w="90" w:type="dxa"/>
              <w:bottom w:w="60" w:type="dxa"/>
              <w:right w:w="90" w:type="dxa"/>
            </w:tcMar>
          </w:tcPr>
          <w:p w14:paraId="5CE96F9B" w14:textId="77777777" w:rsidR="00A831D7" w:rsidRDefault="00A831D7" w:rsidP="00702C90">
            <w:r>
              <w:rPr>
                <w:sz w:val="19"/>
                <w:szCs w:val="19"/>
              </w:rPr>
              <w:t>05</w:t>
            </w:r>
          </w:p>
        </w:tc>
      </w:tr>
      <w:tr w:rsidR="00A831D7" w14:paraId="4F562F15" w14:textId="77777777" w:rsidTr="00702C90">
        <w:tblPrEx>
          <w:tblCellMar>
            <w:top w:w="0" w:type="dxa"/>
            <w:bottom w:w="0" w:type="dxa"/>
          </w:tblCellMar>
        </w:tblPrEx>
        <w:tc>
          <w:tcPr>
            <w:tcW w:w="2200" w:type="dxa"/>
            <w:tcMar>
              <w:top w:w="60" w:type="dxa"/>
              <w:left w:w="90" w:type="dxa"/>
              <w:bottom w:w="60" w:type="dxa"/>
              <w:right w:w="90" w:type="dxa"/>
            </w:tcMar>
          </w:tcPr>
          <w:p w14:paraId="6EA89FBB" w14:textId="77777777" w:rsidR="00A831D7" w:rsidRDefault="00A831D7" w:rsidP="00702C90">
            <w:r>
              <w:rPr>
                <w:sz w:val="19"/>
                <w:szCs w:val="19"/>
              </w:rPr>
              <w:t>Maps</w:t>
            </w:r>
          </w:p>
        </w:tc>
        <w:tc>
          <w:tcPr>
            <w:tcW w:w="2600" w:type="dxa"/>
            <w:tcMar>
              <w:top w:w="60" w:type="dxa"/>
              <w:left w:w="90" w:type="dxa"/>
              <w:bottom w:w="60" w:type="dxa"/>
              <w:right w:w="90" w:type="dxa"/>
            </w:tcMar>
          </w:tcPr>
          <w:p w14:paraId="5604BF3F" w14:textId="77777777" w:rsidR="00A831D7" w:rsidRDefault="00A831D7" w:rsidP="00702C90">
            <w:r>
              <w:rPr>
                <w:sz w:val="19"/>
                <w:szCs w:val="19"/>
              </w:rPr>
              <w:t>09</w:t>
            </w:r>
          </w:p>
        </w:tc>
        <w:tc>
          <w:tcPr>
            <w:tcW w:w="3400" w:type="dxa"/>
            <w:tcMar>
              <w:top w:w="60" w:type="dxa"/>
              <w:left w:w="90" w:type="dxa"/>
              <w:bottom w:w="60" w:type="dxa"/>
              <w:right w:w="90" w:type="dxa"/>
            </w:tcMar>
          </w:tcPr>
          <w:p w14:paraId="0F29BD77" w14:textId="77777777" w:rsidR="00A831D7" w:rsidRDefault="00A831D7" w:rsidP="00702C90">
            <w:r>
              <w:rPr>
                <w:sz w:val="19"/>
                <w:szCs w:val="19"/>
              </w:rPr>
              <w:t>05, shapefiles</w:t>
            </w:r>
          </w:p>
        </w:tc>
      </w:tr>
      <w:tr w:rsidR="00A831D7" w14:paraId="34D5448E" w14:textId="77777777" w:rsidTr="00702C90">
        <w:tblPrEx>
          <w:tblCellMar>
            <w:top w:w="0" w:type="dxa"/>
            <w:bottom w:w="0" w:type="dxa"/>
          </w:tblCellMar>
        </w:tblPrEx>
        <w:tc>
          <w:tcPr>
            <w:tcW w:w="2200" w:type="dxa"/>
            <w:tcMar>
              <w:top w:w="60" w:type="dxa"/>
              <w:left w:w="90" w:type="dxa"/>
              <w:bottom w:w="60" w:type="dxa"/>
              <w:right w:w="90" w:type="dxa"/>
            </w:tcMar>
          </w:tcPr>
          <w:p w14:paraId="385922F4" w14:textId="77777777" w:rsidR="00A831D7" w:rsidRDefault="00A831D7" w:rsidP="00702C90">
            <w:r>
              <w:rPr>
                <w:sz w:val="19"/>
                <w:szCs w:val="19"/>
              </w:rPr>
              <w:t>Sensitivity</w:t>
            </w:r>
          </w:p>
        </w:tc>
        <w:tc>
          <w:tcPr>
            <w:tcW w:w="2600" w:type="dxa"/>
            <w:tcMar>
              <w:top w:w="60" w:type="dxa"/>
              <w:left w:w="90" w:type="dxa"/>
              <w:bottom w:w="60" w:type="dxa"/>
              <w:right w:w="90" w:type="dxa"/>
            </w:tcMar>
          </w:tcPr>
          <w:p w14:paraId="4E9EBAD0" w14:textId="77777777" w:rsidR="00A831D7" w:rsidRDefault="00A831D7" w:rsidP="00702C90">
            <w:r>
              <w:rPr>
                <w:sz w:val="19"/>
                <w:szCs w:val="19"/>
              </w:rPr>
              <w:t>03b, 07, 08</w:t>
            </w:r>
          </w:p>
        </w:tc>
        <w:tc>
          <w:tcPr>
            <w:tcW w:w="3400" w:type="dxa"/>
            <w:tcMar>
              <w:top w:w="60" w:type="dxa"/>
              <w:left w:w="90" w:type="dxa"/>
              <w:bottom w:w="60" w:type="dxa"/>
              <w:right w:w="90" w:type="dxa"/>
            </w:tcMar>
          </w:tcPr>
          <w:p w14:paraId="3A71A50A" w14:textId="77777777" w:rsidR="00A831D7" w:rsidRDefault="00A831D7" w:rsidP="00702C90">
            <w:r>
              <w:rPr>
                <w:sz w:val="19"/>
                <w:szCs w:val="19"/>
              </w:rPr>
              <w:t>model</w:t>
            </w:r>
          </w:p>
        </w:tc>
      </w:tr>
      <w:tr w:rsidR="00A831D7" w14:paraId="6B6A5454" w14:textId="77777777" w:rsidTr="00702C90">
        <w:tblPrEx>
          <w:tblCellMar>
            <w:top w:w="0" w:type="dxa"/>
            <w:bottom w:w="0" w:type="dxa"/>
          </w:tblCellMar>
        </w:tblPrEx>
        <w:tc>
          <w:tcPr>
            <w:tcW w:w="2200" w:type="dxa"/>
            <w:tcMar>
              <w:top w:w="60" w:type="dxa"/>
              <w:left w:w="90" w:type="dxa"/>
              <w:bottom w:w="60" w:type="dxa"/>
              <w:right w:w="90" w:type="dxa"/>
            </w:tcMar>
          </w:tcPr>
          <w:p w14:paraId="74B3BFD8" w14:textId="77777777" w:rsidR="00A831D7" w:rsidRDefault="00A831D7" w:rsidP="00702C90">
            <w:r>
              <w:rPr>
                <w:sz w:val="19"/>
                <w:szCs w:val="19"/>
              </w:rPr>
              <w:t>Determinants</w:t>
            </w:r>
          </w:p>
        </w:tc>
        <w:tc>
          <w:tcPr>
            <w:tcW w:w="2600" w:type="dxa"/>
            <w:tcMar>
              <w:top w:w="60" w:type="dxa"/>
              <w:left w:w="90" w:type="dxa"/>
              <w:bottom w:w="60" w:type="dxa"/>
              <w:right w:w="90" w:type="dxa"/>
            </w:tcMar>
          </w:tcPr>
          <w:p w14:paraId="2ED3AD84" w14:textId="77777777" w:rsidR="00A831D7" w:rsidRDefault="00A831D7" w:rsidP="00702C90">
            <w:r>
              <w:rPr>
                <w:sz w:val="19"/>
                <w:szCs w:val="19"/>
              </w:rPr>
              <w:t>10</w:t>
            </w:r>
          </w:p>
        </w:tc>
        <w:tc>
          <w:tcPr>
            <w:tcW w:w="3400" w:type="dxa"/>
            <w:tcMar>
              <w:top w:w="60" w:type="dxa"/>
              <w:left w:w="90" w:type="dxa"/>
              <w:bottom w:w="60" w:type="dxa"/>
              <w:right w:w="90" w:type="dxa"/>
            </w:tcMar>
          </w:tcPr>
          <w:p w14:paraId="09B477F3" w14:textId="77777777" w:rsidR="00A831D7" w:rsidRDefault="00A831D7" w:rsidP="00702C90">
            <w:r>
              <w:rPr>
                <w:sz w:val="19"/>
                <w:szCs w:val="19"/>
              </w:rPr>
              <w:t>model</w:t>
            </w:r>
          </w:p>
        </w:tc>
      </w:tr>
    </w:tbl>
    <w:p w14:paraId="3BB33F37" w14:textId="77777777" w:rsidR="00086C21" w:rsidRDefault="00086C21" w:rsidP="00086C21"/>
    <w:p w14:paraId="6F08E404" w14:textId="4E8B23C6" w:rsidR="00B6247A" w:rsidRDefault="00B6247A" w:rsidP="00B6247A">
      <w:pPr>
        <w:rPr>
          <w:b/>
          <w:bCs/>
          <w:sz w:val="24"/>
          <w:szCs w:val="24"/>
        </w:rPr>
      </w:pPr>
      <w:r w:rsidRPr="00A831D7">
        <w:rPr>
          <w:b/>
          <w:bCs/>
          <w:sz w:val="24"/>
          <w:szCs w:val="24"/>
        </w:rPr>
        <w:t>O</w:t>
      </w:r>
      <w:r>
        <w:rPr>
          <w:b/>
          <w:bCs/>
          <w:sz w:val="24"/>
          <w:szCs w:val="24"/>
        </w:rPr>
        <w:t>utputs</w:t>
      </w:r>
    </w:p>
    <w:p w14:paraId="4DCB9C92" w14:textId="77777777" w:rsidR="00B6247A" w:rsidRDefault="00B6247A" w:rsidP="00B6247A">
      <w:pPr>
        <w:rPr>
          <w:b/>
          <w:bCs/>
          <w:sz w:val="24"/>
          <w:szCs w:val="24"/>
        </w:rPr>
      </w:pPr>
    </w:p>
    <w:p w14:paraId="6FBD6289" w14:textId="65C7420C" w:rsidR="00475DB8" w:rsidRDefault="00B6247A" w:rsidP="00475DB8">
      <w:pPr>
        <w:spacing w:after="120"/>
        <w:jc w:val="both"/>
      </w:pPr>
      <w:r>
        <w:t>All results are written to an outputs directory, with subfolders for maps, factorial sensitivity figures, per-region distributions and the determinant analyses</w:t>
      </w:r>
      <w:r>
        <w:t>.</w:t>
      </w:r>
      <w:r w:rsidR="00475DB8" w:rsidRPr="00475DB8">
        <w:t xml:space="preserve"> </w:t>
      </w:r>
      <w:r w:rsidR="00475DB8">
        <w:t>The files underlying the figures and tables reported in this paper are listed below.</w:t>
      </w:r>
    </w:p>
    <w:tbl>
      <w:tblPr>
        <w:tblW w:w="8200" w:type="dxa"/>
        <w:tblInd w:w="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4800"/>
      </w:tblGrid>
      <w:tr w:rsidR="00475DB8" w14:paraId="3DB9C6C4" w14:textId="77777777" w:rsidTr="00475DB8">
        <w:tblPrEx>
          <w:tblCellMar>
            <w:top w:w="0" w:type="dxa"/>
            <w:bottom w:w="0" w:type="dxa"/>
          </w:tblCellMar>
        </w:tblPrEx>
        <w:trPr>
          <w:tblHeader/>
        </w:trPr>
        <w:tc>
          <w:tcPr>
            <w:tcW w:w="3400" w:type="dxa"/>
            <w:shd w:val="clear" w:color="auto" w:fill="D9D9D9"/>
            <w:tcMar>
              <w:top w:w="60" w:type="dxa"/>
              <w:left w:w="90" w:type="dxa"/>
              <w:bottom w:w="60" w:type="dxa"/>
              <w:right w:w="90" w:type="dxa"/>
            </w:tcMar>
          </w:tcPr>
          <w:p w14:paraId="4F7A08F2" w14:textId="77777777" w:rsidR="00475DB8" w:rsidRDefault="00475DB8" w:rsidP="00702C90">
            <w:r>
              <w:rPr>
                <w:b/>
                <w:bCs/>
                <w:sz w:val="19"/>
                <w:szCs w:val="19"/>
              </w:rPr>
              <w:lastRenderedPageBreak/>
              <w:t>File</w:t>
            </w:r>
          </w:p>
        </w:tc>
        <w:tc>
          <w:tcPr>
            <w:tcW w:w="4800" w:type="dxa"/>
            <w:shd w:val="clear" w:color="auto" w:fill="D9D9D9"/>
            <w:tcMar>
              <w:top w:w="60" w:type="dxa"/>
              <w:left w:w="90" w:type="dxa"/>
              <w:bottom w:w="60" w:type="dxa"/>
              <w:right w:w="90" w:type="dxa"/>
            </w:tcMar>
          </w:tcPr>
          <w:p w14:paraId="17B60A67" w14:textId="77777777" w:rsidR="00475DB8" w:rsidRDefault="00475DB8" w:rsidP="00702C90">
            <w:r>
              <w:rPr>
                <w:b/>
                <w:bCs/>
                <w:sz w:val="19"/>
                <w:szCs w:val="19"/>
              </w:rPr>
              <w:t>Contents</w:t>
            </w:r>
          </w:p>
        </w:tc>
      </w:tr>
      <w:tr w:rsidR="00475DB8" w14:paraId="03D3D125" w14:textId="77777777" w:rsidTr="00475DB8">
        <w:tblPrEx>
          <w:tblCellMar>
            <w:top w:w="0" w:type="dxa"/>
            <w:bottom w:w="0" w:type="dxa"/>
          </w:tblCellMar>
        </w:tblPrEx>
        <w:tc>
          <w:tcPr>
            <w:tcW w:w="3400" w:type="dxa"/>
            <w:tcMar>
              <w:top w:w="60" w:type="dxa"/>
              <w:left w:w="90" w:type="dxa"/>
              <w:bottom w:w="60" w:type="dxa"/>
              <w:right w:w="90" w:type="dxa"/>
            </w:tcMar>
          </w:tcPr>
          <w:p w14:paraId="1B0B33A2" w14:textId="77777777" w:rsidR="00475DB8" w:rsidRDefault="00475DB8" w:rsidP="00702C90">
            <w:r>
              <w:rPr>
                <w:sz w:val="19"/>
                <w:szCs w:val="19"/>
              </w:rPr>
              <w:t>psa_programme_draws.csv</w:t>
            </w:r>
          </w:p>
        </w:tc>
        <w:tc>
          <w:tcPr>
            <w:tcW w:w="4800" w:type="dxa"/>
            <w:tcMar>
              <w:top w:w="60" w:type="dxa"/>
              <w:left w:w="90" w:type="dxa"/>
              <w:bottom w:w="60" w:type="dxa"/>
              <w:right w:w="90" w:type="dxa"/>
            </w:tcMar>
          </w:tcPr>
          <w:p w14:paraId="17C88CF2" w14:textId="77777777" w:rsidR="00475DB8" w:rsidRDefault="00475DB8" w:rsidP="00702C90">
            <w:r>
              <w:rPr>
                <w:sz w:val="19"/>
                <w:szCs w:val="19"/>
              </w:rPr>
              <w:t>5,000 programme-level draws per scenario</w:t>
            </w:r>
          </w:p>
        </w:tc>
      </w:tr>
      <w:tr w:rsidR="00475DB8" w14:paraId="6EF1168B" w14:textId="77777777" w:rsidTr="00475DB8">
        <w:tblPrEx>
          <w:tblCellMar>
            <w:top w:w="0" w:type="dxa"/>
            <w:bottom w:w="0" w:type="dxa"/>
          </w:tblCellMar>
        </w:tblPrEx>
        <w:tc>
          <w:tcPr>
            <w:tcW w:w="3400" w:type="dxa"/>
            <w:tcMar>
              <w:top w:w="60" w:type="dxa"/>
              <w:left w:w="90" w:type="dxa"/>
              <w:bottom w:w="60" w:type="dxa"/>
              <w:right w:w="90" w:type="dxa"/>
            </w:tcMar>
          </w:tcPr>
          <w:p w14:paraId="700B38E1" w14:textId="77777777" w:rsidR="00475DB8" w:rsidRDefault="00475DB8" w:rsidP="00702C90">
            <w:r>
              <w:rPr>
                <w:sz w:val="19"/>
                <w:szCs w:val="19"/>
              </w:rPr>
              <w:t>psa_scenario_summary.csv</w:t>
            </w:r>
          </w:p>
        </w:tc>
        <w:tc>
          <w:tcPr>
            <w:tcW w:w="4800" w:type="dxa"/>
            <w:tcMar>
              <w:top w:w="60" w:type="dxa"/>
              <w:left w:w="90" w:type="dxa"/>
              <w:bottom w:w="60" w:type="dxa"/>
              <w:right w:w="90" w:type="dxa"/>
            </w:tcMar>
          </w:tcPr>
          <w:p w14:paraId="7991F1AB" w14:textId="77777777" w:rsidR="00475DB8" w:rsidRDefault="00475DB8" w:rsidP="00702C90">
            <w:r>
              <w:rPr>
                <w:sz w:val="19"/>
                <w:szCs w:val="19"/>
              </w:rPr>
              <w:t>Median and 95% interval by scenario, with probabilities of cost-effectiveness and dominance</w:t>
            </w:r>
          </w:p>
        </w:tc>
      </w:tr>
      <w:tr w:rsidR="00475DB8" w14:paraId="2F5F0258" w14:textId="77777777" w:rsidTr="00475DB8">
        <w:tblPrEx>
          <w:tblCellMar>
            <w:top w:w="0" w:type="dxa"/>
            <w:bottom w:w="0" w:type="dxa"/>
          </w:tblCellMar>
        </w:tblPrEx>
        <w:tc>
          <w:tcPr>
            <w:tcW w:w="3400" w:type="dxa"/>
            <w:tcMar>
              <w:top w:w="60" w:type="dxa"/>
              <w:left w:w="90" w:type="dxa"/>
              <w:bottom w:w="60" w:type="dxa"/>
              <w:right w:w="90" w:type="dxa"/>
            </w:tcMar>
          </w:tcPr>
          <w:p w14:paraId="31FAC237" w14:textId="77777777" w:rsidR="00475DB8" w:rsidRDefault="00475DB8" w:rsidP="00702C90">
            <w:r>
              <w:rPr>
                <w:sz w:val="19"/>
                <w:szCs w:val="19"/>
              </w:rPr>
              <w:t>nmb_subnational_region_scenarios.csv</w:t>
            </w:r>
          </w:p>
        </w:tc>
        <w:tc>
          <w:tcPr>
            <w:tcW w:w="4800" w:type="dxa"/>
            <w:tcMar>
              <w:top w:w="60" w:type="dxa"/>
              <w:left w:w="90" w:type="dxa"/>
              <w:bottom w:w="60" w:type="dxa"/>
              <w:right w:w="90" w:type="dxa"/>
            </w:tcMar>
          </w:tcPr>
          <w:p w14:paraId="7BF98B39" w14:textId="77777777" w:rsidR="00475DB8" w:rsidRDefault="00475DB8" w:rsidP="00702C90">
            <w:r>
              <w:rPr>
                <w:sz w:val="19"/>
                <w:szCs w:val="19"/>
              </w:rPr>
              <w:t>Median and 95% interval of net monetary benefit per region</w:t>
            </w:r>
          </w:p>
        </w:tc>
      </w:tr>
      <w:tr w:rsidR="00475DB8" w14:paraId="4CB5D0AC" w14:textId="77777777" w:rsidTr="00475DB8">
        <w:tblPrEx>
          <w:tblCellMar>
            <w:top w:w="0" w:type="dxa"/>
            <w:bottom w:w="0" w:type="dxa"/>
          </w:tblCellMar>
        </w:tblPrEx>
        <w:tc>
          <w:tcPr>
            <w:tcW w:w="3400" w:type="dxa"/>
            <w:tcMar>
              <w:top w:w="60" w:type="dxa"/>
              <w:left w:w="90" w:type="dxa"/>
              <w:bottom w:w="60" w:type="dxa"/>
              <w:right w:w="90" w:type="dxa"/>
            </w:tcMar>
          </w:tcPr>
          <w:p w14:paraId="6AE9AE60" w14:textId="77777777" w:rsidR="00475DB8" w:rsidRDefault="00475DB8" w:rsidP="00702C90">
            <w:r>
              <w:rPr>
                <w:sz w:val="19"/>
                <w:szCs w:val="19"/>
              </w:rPr>
              <w:t>region_counts_by_scenario.csv</w:t>
            </w:r>
          </w:p>
        </w:tc>
        <w:tc>
          <w:tcPr>
            <w:tcW w:w="4800" w:type="dxa"/>
            <w:tcMar>
              <w:top w:w="60" w:type="dxa"/>
              <w:left w:w="90" w:type="dxa"/>
              <w:bottom w:w="60" w:type="dxa"/>
              <w:right w:w="90" w:type="dxa"/>
            </w:tcMar>
          </w:tcPr>
          <w:p w14:paraId="21D392DC" w14:textId="77777777" w:rsidR="00475DB8" w:rsidRDefault="00475DB8" w:rsidP="00702C90">
            <w:r>
              <w:rPr>
                <w:sz w:val="19"/>
                <w:szCs w:val="19"/>
              </w:rPr>
              <w:t>Numbers of net-beneficial and net-costly regions</w:t>
            </w:r>
          </w:p>
        </w:tc>
      </w:tr>
      <w:tr w:rsidR="00475DB8" w14:paraId="47058079" w14:textId="77777777" w:rsidTr="00475DB8">
        <w:tblPrEx>
          <w:tblCellMar>
            <w:top w:w="0" w:type="dxa"/>
            <w:bottom w:w="0" w:type="dxa"/>
          </w:tblCellMar>
        </w:tblPrEx>
        <w:tc>
          <w:tcPr>
            <w:tcW w:w="3400" w:type="dxa"/>
            <w:tcMar>
              <w:top w:w="60" w:type="dxa"/>
              <w:left w:w="90" w:type="dxa"/>
              <w:bottom w:w="60" w:type="dxa"/>
              <w:right w:w="90" w:type="dxa"/>
            </w:tcMar>
          </w:tcPr>
          <w:p w14:paraId="76132CA6" w14:textId="77777777" w:rsidR="00475DB8" w:rsidRDefault="00475DB8" w:rsidP="00702C90">
            <w:r>
              <w:rPr>
                <w:sz w:val="19"/>
                <w:szCs w:val="19"/>
              </w:rPr>
              <w:t>global_oneway_swings.csv</w:t>
            </w:r>
          </w:p>
        </w:tc>
        <w:tc>
          <w:tcPr>
            <w:tcW w:w="4800" w:type="dxa"/>
            <w:tcMar>
              <w:top w:w="60" w:type="dxa"/>
              <w:left w:w="90" w:type="dxa"/>
              <w:bottom w:w="60" w:type="dxa"/>
              <w:right w:w="90" w:type="dxa"/>
            </w:tcMar>
          </w:tcPr>
          <w:p w14:paraId="58A4D829" w14:textId="77777777" w:rsidR="00475DB8" w:rsidRDefault="00475DB8" w:rsidP="00702C90">
            <w:r>
              <w:rPr>
                <w:sz w:val="19"/>
                <w:szCs w:val="19"/>
              </w:rPr>
              <w:t>Effect of each parameter on each outcome</w:t>
            </w:r>
          </w:p>
        </w:tc>
      </w:tr>
      <w:tr w:rsidR="00475DB8" w14:paraId="57C027A1" w14:textId="77777777" w:rsidTr="00475DB8">
        <w:tblPrEx>
          <w:tblCellMar>
            <w:top w:w="0" w:type="dxa"/>
            <w:bottom w:w="0" w:type="dxa"/>
          </w:tblCellMar>
        </w:tblPrEx>
        <w:tc>
          <w:tcPr>
            <w:tcW w:w="3400" w:type="dxa"/>
            <w:tcMar>
              <w:top w:w="60" w:type="dxa"/>
              <w:left w:w="90" w:type="dxa"/>
              <w:bottom w:w="60" w:type="dxa"/>
              <w:right w:w="90" w:type="dxa"/>
            </w:tcMar>
          </w:tcPr>
          <w:p w14:paraId="391E8B28" w14:textId="77777777" w:rsidR="00475DB8" w:rsidRDefault="00475DB8" w:rsidP="00702C90">
            <w:r>
              <w:rPr>
                <w:sz w:val="19"/>
                <w:szCs w:val="19"/>
              </w:rPr>
              <w:t>tree_rule_table.csv</w:t>
            </w:r>
          </w:p>
        </w:tc>
        <w:tc>
          <w:tcPr>
            <w:tcW w:w="4800" w:type="dxa"/>
            <w:tcMar>
              <w:top w:w="60" w:type="dxa"/>
              <w:left w:w="90" w:type="dxa"/>
              <w:bottom w:w="60" w:type="dxa"/>
              <w:right w:w="90" w:type="dxa"/>
            </w:tcMar>
          </w:tcPr>
          <w:p w14:paraId="63CD5844" w14:textId="77777777" w:rsidR="00475DB8" w:rsidRDefault="00475DB8" w:rsidP="00702C90">
            <w:r>
              <w:rPr>
                <w:sz w:val="19"/>
                <w:szCs w:val="19"/>
              </w:rPr>
              <w:t>Decision rule with supporting region counts</w:t>
            </w:r>
          </w:p>
        </w:tc>
      </w:tr>
      <w:tr w:rsidR="00475DB8" w14:paraId="0C09F4B1" w14:textId="77777777" w:rsidTr="00475DB8">
        <w:tblPrEx>
          <w:tblCellMar>
            <w:top w:w="0" w:type="dxa"/>
            <w:bottom w:w="0" w:type="dxa"/>
          </w:tblCellMar>
        </w:tblPrEx>
        <w:tc>
          <w:tcPr>
            <w:tcW w:w="3400" w:type="dxa"/>
            <w:tcMar>
              <w:top w:w="60" w:type="dxa"/>
              <w:left w:w="90" w:type="dxa"/>
              <w:bottom w:w="60" w:type="dxa"/>
              <w:right w:w="90" w:type="dxa"/>
            </w:tcMar>
          </w:tcPr>
          <w:p w14:paraId="01BD4028" w14:textId="77777777" w:rsidR="00475DB8" w:rsidRDefault="00475DB8" w:rsidP="00702C90">
            <w:r>
              <w:rPr>
                <w:sz w:val="19"/>
                <w:szCs w:val="19"/>
              </w:rPr>
              <w:t>covariate_by_outcome.csv</w:t>
            </w:r>
          </w:p>
        </w:tc>
        <w:tc>
          <w:tcPr>
            <w:tcW w:w="4800" w:type="dxa"/>
            <w:tcMar>
              <w:top w:w="60" w:type="dxa"/>
              <w:left w:w="90" w:type="dxa"/>
              <w:bottom w:w="60" w:type="dxa"/>
              <w:right w:w="90" w:type="dxa"/>
            </w:tcMar>
          </w:tcPr>
          <w:p w14:paraId="5452EAE3" w14:textId="77777777" w:rsidR="00475DB8" w:rsidRDefault="00475DB8" w:rsidP="00702C90">
            <w:r>
              <w:rPr>
                <w:sz w:val="19"/>
                <w:szCs w:val="19"/>
              </w:rPr>
              <w:t>Distribution of determinants by outcome</w:t>
            </w:r>
          </w:p>
        </w:tc>
      </w:tr>
      <w:tr w:rsidR="00475DB8" w14:paraId="116BC0B6" w14:textId="77777777" w:rsidTr="00475DB8">
        <w:tblPrEx>
          <w:tblCellMar>
            <w:top w:w="0" w:type="dxa"/>
            <w:bottom w:w="0" w:type="dxa"/>
          </w:tblCellMar>
        </w:tblPrEx>
        <w:tc>
          <w:tcPr>
            <w:tcW w:w="3400" w:type="dxa"/>
            <w:tcMar>
              <w:top w:w="60" w:type="dxa"/>
              <w:left w:w="90" w:type="dxa"/>
              <w:bottom w:w="60" w:type="dxa"/>
              <w:right w:w="90" w:type="dxa"/>
            </w:tcMar>
          </w:tcPr>
          <w:p w14:paraId="74FCD5D5" w14:textId="77777777" w:rsidR="00475DB8" w:rsidRDefault="00475DB8" w:rsidP="00702C90">
            <w:r>
              <w:rPr>
                <w:sz w:val="19"/>
                <w:szCs w:val="19"/>
              </w:rPr>
              <w:t>max_affordable_cost_grid.csv</w:t>
            </w:r>
          </w:p>
        </w:tc>
        <w:tc>
          <w:tcPr>
            <w:tcW w:w="4800" w:type="dxa"/>
            <w:tcMar>
              <w:top w:w="60" w:type="dxa"/>
              <w:left w:w="90" w:type="dxa"/>
              <w:bottom w:w="60" w:type="dxa"/>
              <w:right w:w="90" w:type="dxa"/>
            </w:tcMar>
          </w:tcPr>
          <w:p w14:paraId="22A43AAD" w14:textId="77777777" w:rsidR="00475DB8" w:rsidRDefault="00475DB8" w:rsidP="00702C90">
            <w:r>
              <w:rPr>
                <w:sz w:val="19"/>
                <w:szCs w:val="19"/>
              </w:rPr>
              <w:t>Break-even delivery cost by coverage and incidence</w:t>
            </w:r>
          </w:p>
        </w:tc>
      </w:tr>
    </w:tbl>
    <w:p w14:paraId="68B10013" w14:textId="6DCCD2FE" w:rsidR="00B6247A" w:rsidRDefault="00B6247A" w:rsidP="00B6247A"/>
    <w:p w14:paraId="1F4F9C15" w14:textId="77777777" w:rsidR="00B6247A" w:rsidRDefault="00B6247A" w:rsidP="00B6247A"/>
    <w:p w14:paraId="5AC9D07C" w14:textId="77777777" w:rsidR="00B6247A" w:rsidRPr="00B6247A" w:rsidRDefault="00B6247A" w:rsidP="00B6247A">
      <w:pPr>
        <w:rPr>
          <w:b/>
          <w:bCs/>
          <w:sz w:val="24"/>
          <w:szCs w:val="24"/>
        </w:rPr>
      </w:pPr>
      <w:r w:rsidRPr="00B6247A">
        <w:rPr>
          <w:b/>
          <w:bCs/>
          <w:sz w:val="24"/>
          <w:szCs w:val="24"/>
        </w:rPr>
        <w:t>Reproducibility</w:t>
      </w:r>
    </w:p>
    <w:p w14:paraId="0B45BC82" w14:textId="77777777" w:rsidR="00B6247A" w:rsidRDefault="00B6247A" w:rsidP="00B6247A">
      <w:pPr>
        <w:rPr>
          <w:b/>
          <w:bCs/>
          <w:sz w:val="24"/>
          <w:szCs w:val="24"/>
        </w:rPr>
      </w:pPr>
    </w:p>
    <w:p w14:paraId="7C8F7B66" w14:textId="77777777" w:rsidR="00B6247A" w:rsidRDefault="00B6247A" w:rsidP="00B6247A">
      <w:pPr>
        <w:spacing w:after="120"/>
        <w:jc w:val="both"/>
      </w:pPr>
      <w:r>
        <w:t>Random seeds are set before every stochastic step, so probabilistic results reproduce exactly. The probabilistic analyses draw 5,000 samples per scenario and the factorial analysis evaluates 2,187 parameter combinations, each across all 202 regions; both take a few minutes on a standard laptop. Scripts locate the project root automatically when run from RStudio; run elsewhere, the working directory must be set to the repository root.</w:t>
      </w:r>
    </w:p>
    <w:p w14:paraId="2F0337C1" w14:textId="77777777" w:rsidR="00B6247A" w:rsidRDefault="00B6247A" w:rsidP="00B6247A">
      <w:pPr>
        <w:rPr>
          <w:b/>
          <w:bCs/>
          <w:sz w:val="24"/>
          <w:szCs w:val="24"/>
        </w:rPr>
      </w:pPr>
    </w:p>
    <w:p w14:paraId="11A3F995" w14:textId="77777777" w:rsidR="00B6247A" w:rsidRDefault="00B6247A" w:rsidP="00B6247A">
      <w:pPr>
        <w:rPr>
          <w:b/>
          <w:bCs/>
          <w:sz w:val="24"/>
          <w:szCs w:val="24"/>
        </w:rPr>
      </w:pPr>
    </w:p>
    <w:p w14:paraId="6128A32D" w14:textId="77777777" w:rsidR="00B6247A" w:rsidRPr="00086C21" w:rsidRDefault="00B6247A" w:rsidP="00086C21"/>
    <w:sectPr w:rsidR="00B6247A" w:rsidRPr="00086C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043"/>
    <w:rsid w:val="00044B99"/>
    <w:rsid w:val="00071732"/>
    <w:rsid w:val="00086C21"/>
    <w:rsid w:val="00091043"/>
    <w:rsid w:val="001032EA"/>
    <w:rsid w:val="001B7FDF"/>
    <w:rsid w:val="00291CEC"/>
    <w:rsid w:val="002A305E"/>
    <w:rsid w:val="00307906"/>
    <w:rsid w:val="003433DD"/>
    <w:rsid w:val="00371DCB"/>
    <w:rsid w:val="00410382"/>
    <w:rsid w:val="00435334"/>
    <w:rsid w:val="00471196"/>
    <w:rsid w:val="00475DB8"/>
    <w:rsid w:val="005568CA"/>
    <w:rsid w:val="005A679C"/>
    <w:rsid w:val="005C2315"/>
    <w:rsid w:val="005E2D3D"/>
    <w:rsid w:val="007438FB"/>
    <w:rsid w:val="0076675A"/>
    <w:rsid w:val="00782F7B"/>
    <w:rsid w:val="00796B25"/>
    <w:rsid w:val="0080115B"/>
    <w:rsid w:val="00802FE7"/>
    <w:rsid w:val="00876C39"/>
    <w:rsid w:val="00A0185D"/>
    <w:rsid w:val="00A775CC"/>
    <w:rsid w:val="00A831D7"/>
    <w:rsid w:val="00AF09B0"/>
    <w:rsid w:val="00B256F8"/>
    <w:rsid w:val="00B55651"/>
    <w:rsid w:val="00B6247A"/>
    <w:rsid w:val="00B8336D"/>
    <w:rsid w:val="00BB5FFA"/>
    <w:rsid w:val="00C0780D"/>
    <w:rsid w:val="00C46AB2"/>
    <w:rsid w:val="00D4164B"/>
    <w:rsid w:val="00DB2D04"/>
    <w:rsid w:val="00DC178E"/>
    <w:rsid w:val="00E32EB9"/>
    <w:rsid w:val="00F31C15"/>
    <w:rsid w:val="00F4742A"/>
    <w:rsid w:val="00FC44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70A88F7"/>
  <w15:chartTrackingRefBased/>
  <w15:docId w15:val="{E8074BFE-9FD5-2C44-8BBE-0BA41FDBC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AB2"/>
    <w:pPr>
      <w:spacing w:after="0" w:line="240" w:lineRule="auto"/>
    </w:pPr>
    <w:rPr>
      <w:rFonts w:ascii="Calibri" w:eastAsia="Calibri" w:hAnsi="Calibri" w:cs="Calibri"/>
      <w:kern w:val="0"/>
      <w:sz w:val="22"/>
      <w:szCs w:val="22"/>
      <w:lang w:eastAsia="en-GB"/>
      <w14:ligatures w14:val="none"/>
    </w:rPr>
  </w:style>
  <w:style w:type="paragraph" w:styleId="Heading1">
    <w:name w:val="heading 1"/>
    <w:basedOn w:val="Normal"/>
    <w:next w:val="Normal"/>
    <w:link w:val="Heading1Char"/>
    <w:uiPriority w:val="9"/>
    <w:qFormat/>
    <w:rsid w:val="000910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10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10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0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0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0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0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0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0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0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10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10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0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0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043"/>
    <w:rPr>
      <w:rFonts w:eastAsiaTheme="majorEastAsia" w:cstheme="majorBidi"/>
      <w:color w:val="272727" w:themeColor="text1" w:themeTint="D8"/>
    </w:rPr>
  </w:style>
  <w:style w:type="paragraph" w:styleId="Title">
    <w:name w:val="Title"/>
    <w:basedOn w:val="Normal"/>
    <w:next w:val="Normal"/>
    <w:link w:val="TitleChar"/>
    <w:uiPriority w:val="10"/>
    <w:qFormat/>
    <w:rsid w:val="000910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0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043"/>
    <w:pPr>
      <w:spacing w:before="160"/>
      <w:jc w:val="center"/>
    </w:pPr>
    <w:rPr>
      <w:i/>
      <w:iCs/>
      <w:color w:val="404040" w:themeColor="text1" w:themeTint="BF"/>
    </w:rPr>
  </w:style>
  <w:style w:type="character" w:customStyle="1" w:styleId="QuoteChar">
    <w:name w:val="Quote Char"/>
    <w:basedOn w:val="DefaultParagraphFont"/>
    <w:link w:val="Quote"/>
    <w:uiPriority w:val="29"/>
    <w:rsid w:val="00091043"/>
    <w:rPr>
      <w:i/>
      <w:iCs/>
      <w:color w:val="404040" w:themeColor="text1" w:themeTint="BF"/>
    </w:rPr>
  </w:style>
  <w:style w:type="paragraph" w:styleId="ListParagraph">
    <w:name w:val="List Paragraph"/>
    <w:basedOn w:val="Normal"/>
    <w:uiPriority w:val="34"/>
    <w:qFormat/>
    <w:rsid w:val="00091043"/>
    <w:pPr>
      <w:ind w:left="720"/>
      <w:contextualSpacing/>
    </w:pPr>
  </w:style>
  <w:style w:type="character" w:styleId="IntenseEmphasis">
    <w:name w:val="Intense Emphasis"/>
    <w:basedOn w:val="DefaultParagraphFont"/>
    <w:uiPriority w:val="21"/>
    <w:qFormat/>
    <w:rsid w:val="00091043"/>
    <w:rPr>
      <w:i/>
      <w:iCs/>
      <w:color w:val="0F4761" w:themeColor="accent1" w:themeShade="BF"/>
    </w:rPr>
  </w:style>
  <w:style w:type="paragraph" w:styleId="IntenseQuote">
    <w:name w:val="Intense Quote"/>
    <w:basedOn w:val="Normal"/>
    <w:next w:val="Normal"/>
    <w:link w:val="IntenseQuoteChar"/>
    <w:uiPriority w:val="30"/>
    <w:qFormat/>
    <w:rsid w:val="000910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043"/>
    <w:rPr>
      <w:i/>
      <w:iCs/>
      <w:color w:val="0F4761" w:themeColor="accent1" w:themeShade="BF"/>
    </w:rPr>
  </w:style>
  <w:style w:type="character" w:styleId="IntenseReference">
    <w:name w:val="Intense Reference"/>
    <w:basedOn w:val="DefaultParagraphFont"/>
    <w:uiPriority w:val="32"/>
    <w:qFormat/>
    <w:rsid w:val="00091043"/>
    <w:rPr>
      <w:b/>
      <w:bCs/>
      <w:smallCaps/>
      <w:color w:val="0F4761" w:themeColor="accent1" w:themeShade="BF"/>
      <w:spacing w:val="5"/>
    </w:rPr>
  </w:style>
  <w:style w:type="table" w:styleId="TableGrid">
    <w:name w:val="Table Grid"/>
    <w:basedOn w:val="TableNormal"/>
    <w:uiPriority w:val="39"/>
    <w:rsid w:val="00782F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82F7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82F7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5C2315"/>
    <w:pPr>
      <w:tabs>
        <w:tab w:val="left" w:pos="260"/>
      </w:tabs>
      <w:spacing w:after="240"/>
      <w:ind w:left="264" w:hanging="264"/>
    </w:pPr>
  </w:style>
  <w:style w:type="character" w:styleId="Hyperlink">
    <w:name w:val="Hyperlink"/>
    <w:basedOn w:val="DefaultParagraphFont"/>
    <w:uiPriority w:val="99"/>
    <w:unhideWhenUsed/>
    <w:rsid w:val="005C2315"/>
    <w:rPr>
      <w:color w:val="467886" w:themeColor="hyperlink"/>
      <w:u w:val="single"/>
    </w:rPr>
  </w:style>
  <w:style w:type="character" w:styleId="UnresolvedMention">
    <w:name w:val="Unresolved Mention"/>
    <w:basedOn w:val="DefaultParagraphFont"/>
    <w:uiPriority w:val="99"/>
    <w:semiHidden/>
    <w:unhideWhenUsed/>
    <w:rsid w:val="005C2315"/>
    <w:rPr>
      <w:color w:val="605E5C"/>
      <w:shd w:val="clear" w:color="auto" w:fill="E1DFDD"/>
    </w:rPr>
  </w:style>
  <w:style w:type="table" w:styleId="PlainTable3">
    <w:name w:val="Plain Table 3"/>
    <w:basedOn w:val="TableNormal"/>
    <w:uiPriority w:val="43"/>
    <w:rsid w:val="00C46AB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46AB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3">
    <w:name w:val="Grid Table 1 Light Accent 3"/>
    <w:basedOn w:val="TableNormal"/>
    <w:uiPriority w:val="46"/>
    <w:rsid w:val="00C46AB2"/>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A775C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mghthesis/mgh_the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4</Pages>
  <Words>1551</Words>
  <Characters>8844</Characters>
  <Application>Microsoft Office Word</Application>
  <DocSecurity>0</DocSecurity>
  <Lines>73</Lines>
  <Paragraphs>20</Paragraphs>
  <ScaleCrop>false</ScaleCrop>
  <Company/>
  <LinksUpToDate>false</LinksUpToDate>
  <CharactersWithSpaces>10375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Prabhleen Kaur</dc:creator>
  <cp:keywords/>
  <dc:description/>
  <cp:lastModifiedBy>Prabhleen Kaur</cp:lastModifiedBy>
  <cp:revision>9</cp:revision>
  <dcterms:created xsi:type="dcterms:W3CDTF">2026-08-05T10:28:00Z</dcterms:created>
  <dcterms:modified xsi:type="dcterms:W3CDTF">2026-08-05T16:54:00Z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id="jcnhUAZl"/&gt;&lt;style id="http://www.zotero.org/styles/nlm-citation-sequence" locale="en-GB" hasBibliography="1" bibliographyStyleHasBeenSet="1"/&gt;&lt;prefs&gt;&lt;pref name="fieldType" value="Field"/&gt;&lt;pref nam</vt:lpwstr>
  </property>
  <property fmtid="{D5CDD505-2E9C-101B-9397-08002B2CF9AE}" pid="3" name="ZOTERO_PREF_2">
    <vt:lpwstr>e="automaticJournalAbbreviations" value="true"/&gt;&lt;/prefs&gt;&lt;/data&gt;</vt:lpwstr>
  </property>
</Properties>
</file>