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98B20" w14:textId="06A814F9" w:rsidR="00091043" w:rsidRDefault="00091043" w:rsidP="00091043">
      <w:pPr>
        <w:pStyle w:val="Heading2"/>
      </w:pPr>
      <w:r>
        <w:t>Supplementary Methods</w:t>
      </w:r>
    </w:p>
    <w:p w14:paraId="21A76C3B" w14:textId="77777777" w:rsidR="00091043" w:rsidRDefault="00091043" w:rsidP="00091043">
      <w:pPr>
        <w:spacing w:after="200"/>
        <w:rPr>
          <w:sz w:val="26"/>
          <w:szCs w:val="26"/>
        </w:rPr>
      </w:pPr>
    </w:p>
    <w:p w14:paraId="2D7E07FE" w14:textId="7C93794C" w:rsidR="00091043" w:rsidRDefault="00091043" w:rsidP="00091043">
      <w:pPr>
        <w:pStyle w:val="Heading3"/>
      </w:pPr>
      <w:r>
        <w:t>S1: Data sources and processing</w:t>
      </w:r>
    </w:p>
    <w:p w14:paraId="075D8662" w14:textId="77777777" w:rsidR="00091043" w:rsidRPr="00091043" w:rsidRDefault="00091043" w:rsidP="00091043">
      <w:pPr>
        <w:rPr>
          <w:lang w:eastAsia="en-US"/>
        </w:rPr>
      </w:pPr>
    </w:p>
    <w:p w14:paraId="6AD44BA5" w14:textId="77777777" w:rsidR="00091043" w:rsidRPr="00A952D9" w:rsidRDefault="00091043" w:rsidP="00091043">
      <w:pPr>
        <w:spacing w:after="200"/>
      </w:pPr>
      <w:r w:rsidRPr="00A952D9">
        <w:rPr>
          <w:b/>
          <w:bCs/>
        </w:rPr>
        <w:t>Ivermectin coverage and target populations</w:t>
      </w:r>
    </w:p>
    <w:p w14:paraId="6D66F6D2" w14:textId="6F89E960" w:rsidR="00091043" w:rsidRPr="00A952D9" w:rsidRDefault="00091043" w:rsidP="00091043">
      <w:pPr>
        <w:spacing w:after="200"/>
      </w:pPr>
      <w:r w:rsidRPr="00A952D9">
        <w:t xml:space="preserve">Treatment and target population data for 2024 were extracted from the WHO Expanded Special Project for the Elimination of Neglected Tropical Diseases (ESPEN) platform </w:t>
      </w:r>
      <w:r w:rsidR="005A679C" w:rsidRPr="00A952D9">
        <w:fldChar w:fldCharType="begin"/>
      </w:r>
      <w:r w:rsidR="005A679C" w:rsidRPr="00A952D9">
        <w:instrText xml:space="preserve"> ADDIN ZOTERO_ITEM CSL_CITATION {"citationID":"BNGZIZnJ","properties":{"unsorted":false,"formattedCitation":"(1)","plainCitation":"(1)","noteIndex":0},"citationItems":[{"id":423,"uris":["http://zotero.org/users/18906319/items/VBKXICKS"],"itemData":{"id":423,"type":"webpage","title":"Cartography database | ESPEN","URL":"https://espen.afro.who.int/maps-data/data-query-tools/cartography-database","accessed":{"date-parts":[["2026",8,3]]}}}],"schema":"https://github.com/citation-style-language/schema/raw/master/csl-citation.json"} </w:instrText>
      </w:r>
      <w:r w:rsidR="005A679C" w:rsidRPr="00A952D9">
        <w:fldChar w:fldCharType="separate"/>
      </w:r>
      <w:r w:rsidR="005A679C" w:rsidRPr="00A952D9">
        <w:rPr>
          <w:noProof/>
        </w:rPr>
        <w:t>(1)</w:t>
      </w:r>
      <w:r w:rsidR="005A679C" w:rsidRPr="00A952D9">
        <w:fldChar w:fldCharType="end"/>
      </w:r>
      <w:r w:rsidRPr="00A952D9">
        <w:t>. ESPEN reports at implementation-unit level, generally the second administrative level (admin-2). Because ivermectin is distributed both alone and co-administered with albendazole</w:t>
      </w:r>
      <w:r w:rsidR="005A679C" w:rsidRPr="00A952D9">
        <w:t xml:space="preserve"> </w:t>
      </w:r>
      <w:r w:rsidR="005A679C" w:rsidRPr="00A952D9">
        <w:fldChar w:fldCharType="begin"/>
      </w:r>
      <w:r w:rsidR="005A679C" w:rsidRPr="00A952D9">
        <w:instrText xml:space="preserve"> ADDIN ZOTERO_ITEM CSL_CITATION {"citationID":"bN4guHLS","properties":{"unsorted":false,"formattedCitation":"(2)","plainCitation":"(2)","noteIndex":0},"citationItems":[{"id":425,"uris":["http://zotero.org/users/18906319/items/GPGBP9NM"],"itemData":{"id":425,"type":"article-journal","abstract":"Soil-transmitted helminthiasis affects almost 2 billion people worldwide in tropical climates. Preventive chemotherapy, using the benzimidazoles (albendazole and mebendazole) is the current main recommended control strategy. Nevertheless, there is limited efficacy of these drugs against hookworm infection and, to a greater extent, against trichuriasis. We describe a protocol for a trial investigating the efficacy and safety of the co-administration of ivermectin and albendazole against trichuriasis.","container-title":"BMC Infectious Diseases","DOI":"10.1186/s12879-019-3882-x","ISSN":"1471-2334","issue":"1","journalAbbreviation":"BMC Infect Dis","language":"en","page":"262","source":"Springer Link","title":"Efficacy and safety of ivermectin and albendazole co-administration in school-aged children and adults infected with Trichuris trichiura: study protocol for a multi-country randomized controlled double-blind trial","title-short":"Efficacy and safety of ivermectin and albendazole co-administration in school-aged children and adults infected with Trichuris trichiura","volume":"19","author":[{"family":"Patel","given":"Chandni"},{"family":"Hürlimann","given":"Eveline"},{"family":"Keller","given":"Ladina"},{"family":"Hattendorf","given":"Jan"},{"family":"Sayasone","given":"Somphou"},{"family":"Ali","given":"Said M."},{"family":"Ame","given":"Shaali M."},{"family":"Coulibaly","given":"Jean T."},{"family":"Keiser","given":"Jennifer"}],"issued":{"date-parts":[["2019",3,18]]}}}],"schema":"https://github.com/citation-style-language/schema/raw/master/csl-citation.json"} </w:instrText>
      </w:r>
      <w:r w:rsidR="005A679C" w:rsidRPr="00A952D9">
        <w:fldChar w:fldCharType="separate"/>
      </w:r>
      <w:r w:rsidR="005A679C" w:rsidRPr="00A952D9">
        <w:rPr>
          <w:noProof/>
        </w:rPr>
        <w:t>(2)</w:t>
      </w:r>
      <w:r w:rsidR="005A679C" w:rsidRPr="00A952D9">
        <w:fldChar w:fldCharType="end"/>
      </w:r>
      <w:r w:rsidRPr="00A952D9">
        <w:t>, and these are reported as separate distributions, the number treated in each region was taken as the sum of both, since each represents an individual receiving an ivermectin tablet:</w:t>
      </w:r>
    </w:p>
    <w:p w14:paraId="2217B620" w14:textId="77777777" w:rsidR="00091043" w:rsidRPr="00A952D9" w:rsidRDefault="00091043" w:rsidP="00A952D9">
      <w:pPr>
        <w:spacing w:after="200"/>
        <w:jc w:val="center"/>
      </w:pPr>
      <w:proofErr w:type="spellStart"/>
      <w:r w:rsidRPr="00A952D9">
        <w:rPr>
          <w:i/>
          <w:iCs/>
        </w:rPr>
        <w:t>N_treated</w:t>
      </w:r>
      <w:proofErr w:type="spellEnd"/>
      <w:r w:rsidRPr="00A952D9">
        <w:rPr>
          <w:i/>
          <w:iCs/>
        </w:rPr>
        <w:t xml:space="preserve"> = </w:t>
      </w:r>
      <w:proofErr w:type="spellStart"/>
      <w:r w:rsidRPr="00A952D9">
        <w:rPr>
          <w:i/>
          <w:iCs/>
        </w:rPr>
        <w:t>N_ivermectin</w:t>
      </w:r>
      <w:proofErr w:type="spellEnd"/>
      <w:r w:rsidRPr="00A952D9">
        <w:rPr>
          <w:i/>
          <w:iCs/>
        </w:rPr>
        <w:t xml:space="preserve"> + </w:t>
      </w:r>
      <w:proofErr w:type="spellStart"/>
      <w:r w:rsidRPr="00A952D9">
        <w:rPr>
          <w:i/>
          <w:iCs/>
        </w:rPr>
        <w:t>N_albendazole+ivermectin</w:t>
      </w:r>
      <w:proofErr w:type="spellEnd"/>
    </w:p>
    <w:p w14:paraId="02B2A965" w14:textId="7F8145A7" w:rsidR="00091043" w:rsidRPr="00A952D9" w:rsidRDefault="00091043" w:rsidP="00091043">
      <w:pPr>
        <w:spacing w:after="200"/>
      </w:pPr>
      <w:r w:rsidRPr="00A952D9">
        <w:t>Coverage was then calculated against the total regional population</w:t>
      </w:r>
      <w:r w:rsidR="005A679C" w:rsidRPr="00A952D9">
        <w:t>:</w:t>
      </w:r>
    </w:p>
    <w:p w14:paraId="1B192AE9" w14:textId="77777777" w:rsidR="00091043" w:rsidRPr="00A952D9" w:rsidRDefault="00091043" w:rsidP="00A952D9">
      <w:pPr>
        <w:spacing w:after="200"/>
        <w:jc w:val="center"/>
      </w:pPr>
      <w:r w:rsidRPr="00A952D9">
        <w:rPr>
          <w:i/>
          <w:iCs/>
        </w:rPr>
        <w:t xml:space="preserve">c = </w:t>
      </w:r>
      <w:proofErr w:type="spellStart"/>
      <w:r w:rsidRPr="00A952D9">
        <w:rPr>
          <w:i/>
          <w:iCs/>
        </w:rPr>
        <w:t>N_treated</w:t>
      </w:r>
      <w:proofErr w:type="spellEnd"/>
      <w:r w:rsidRPr="00A952D9">
        <w:rPr>
          <w:i/>
          <w:iCs/>
        </w:rPr>
        <w:t xml:space="preserve"> / </w:t>
      </w:r>
      <w:proofErr w:type="spellStart"/>
      <w:r w:rsidRPr="00A952D9">
        <w:rPr>
          <w:i/>
          <w:iCs/>
        </w:rPr>
        <w:t>N_population</w:t>
      </w:r>
      <w:proofErr w:type="spellEnd"/>
    </w:p>
    <w:p w14:paraId="784B6607" w14:textId="4116F958" w:rsidR="00091043" w:rsidRPr="00A952D9" w:rsidRDefault="00091043" w:rsidP="00091043">
      <w:pPr>
        <w:spacing w:after="200"/>
      </w:pPr>
      <w:r w:rsidRPr="00A952D9">
        <w:t xml:space="preserve">ESPEN reports treatment data for the most recent year in which a country conducted mass drug administration, which is 2024 for all countries in the analysis except Ethiopia, whose most recent available export is 2023. Ethiopian coverage and Loa </w:t>
      </w:r>
      <w:proofErr w:type="spellStart"/>
      <w:r w:rsidRPr="00A952D9">
        <w:t>loa</w:t>
      </w:r>
      <w:proofErr w:type="spellEnd"/>
      <w:r w:rsidRPr="00A952D9">
        <w:t xml:space="preserve"> figures are therefore one year older than the rest of the dataset. Because </w:t>
      </w:r>
      <w:r w:rsidR="0033767D">
        <w:t xml:space="preserve">ivermectin </w:t>
      </w:r>
      <w:r w:rsidRPr="00A952D9">
        <w:t xml:space="preserve">coverage and Loa </w:t>
      </w:r>
      <w:proofErr w:type="spellStart"/>
      <w:r w:rsidRPr="00A952D9">
        <w:t>loa</w:t>
      </w:r>
      <w:proofErr w:type="spellEnd"/>
      <w:r w:rsidRPr="00A952D9">
        <w:t xml:space="preserve"> prevalence both change slowly relative to the annual reporting cycle, this is unlikely to affect the classification of Ethiopian regions, but the mismatch should be noted when Ethiopia is compared directly with neighbouring countries.</w:t>
      </w:r>
    </w:p>
    <w:p w14:paraId="12591EDA" w14:textId="77777777" w:rsidR="001B7FDF" w:rsidRPr="00A952D9" w:rsidRDefault="001B7FDF" w:rsidP="001B7FDF">
      <w:pPr>
        <w:spacing w:after="200"/>
      </w:pPr>
      <w:r w:rsidRPr="00A952D9">
        <w:rPr>
          <w:b/>
          <w:bCs/>
        </w:rPr>
        <w:t xml:space="preserve">Loa </w:t>
      </w:r>
      <w:proofErr w:type="spellStart"/>
      <w:r w:rsidRPr="00A952D9">
        <w:rPr>
          <w:b/>
          <w:bCs/>
        </w:rPr>
        <w:t>loa</w:t>
      </w:r>
      <w:proofErr w:type="spellEnd"/>
      <w:r w:rsidRPr="00A952D9">
        <w:rPr>
          <w:b/>
          <w:bCs/>
        </w:rPr>
        <w:t xml:space="preserve"> prevalence</w:t>
      </w:r>
    </w:p>
    <w:p w14:paraId="00013996" w14:textId="410C31E4" w:rsidR="001B7FDF" w:rsidRPr="00A952D9" w:rsidRDefault="001B7FDF" w:rsidP="001B7FDF">
      <w:pPr>
        <w:spacing w:after="200"/>
      </w:pPr>
      <w:r w:rsidRPr="00A952D9">
        <w:t xml:space="preserve">ESPEN reports Loa </w:t>
      </w:r>
      <w:proofErr w:type="spellStart"/>
      <w:r w:rsidRPr="00A952D9">
        <w:t>loa</w:t>
      </w:r>
      <w:proofErr w:type="spellEnd"/>
      <w:r w:rsidRPr="00A952D9">
        <w:t xml:space="preserve"> prevalence at implementation-unit level as a minimum and maximum estimate. For each admin-2 unit the midpoint was taken, and admin-1 prevalence was calculated as </w:t>
      </w:r>
      <w:proofErr w:type="gramStart"/>
      <w:r w:rsidRPr="00A952D9">
        <w:t>the  mean</w:t>
      </w:r>
      <w:proofErr w:type="gramEnd"/>
      <w:r w:rsidRPr="00A952D9">
        <w:t xml:space="preserve"> across constituent units:</w:t>
      </w:r>
    </w:p>
    <w:p w14:paraId="4A0ADF4C" w14:textId="77777777" w:rsidR="001B7FDF" w:rsidRPr="00A952D9" w:rsidRDefault="001B7FDF" w:rsidP="00A952D9">
      <w:pPr>
        <w:spacing w:after="200"/>
        <w:jc w:val="center"/>
      </w:pPr>
      <w:r w:rsidRPr="00A952D9">
        <w:rPr>
          <w:i/>
          <w:iCs/>
        </w:rPr>
        <w:t>L_admin1 = mean over units of (</w:t>
      </w:r>
      <w:proofErr w:type="spellStart"/>
      <w:r w:rsidRPr="00A952D9">
        <w:rPr>
          <w:i/>
          <w:iCs/>
        </w:rPr>
        <w:t>L_min</w:t>
      </w:r>
      <w:proofErr w:type="spellEnd"/>
      <w:r w:rsidRPr="00A952D9">
        <w:rPr>
          <w:i/>
          <w:iCs/>
        </w:rPr>
        <w:t xml:space="preserve"> + </w:t>
      </w:r>
      <w:proofErr w:type="spellStart"/>
      <w:r w:rsidRPr="00A952D9">
        <w:rPr>
          <w:i/>
          <w:iCs/>
        </w:rPr>
        <w:t>L_max</w:t>
      </w:r>
      <w:proofErr w:type="spellEnd"/>
      <w:r w:rsidRPr="00A952D9">
        <w:rPr>
          <w:i/>
          <w:iCs/>
        </w:rPr>
        <w:t>) / 2</w:t>
      </w:r>
    </w:p>
    <w:p w14:paraId="2721523A" w14:textId="5EA2CB93" w:rsidR="001B7FDF" w:rsidRPr="00A952D9" w:rsidRDefault="001B7FDF" w:rsidP="001B7FDF">
      <w:pPr>
        <w:spacing w:after="200"/>
      </w:pPr>
      <w:r w:rsidRPr="00A952D9">
        <w:rPr>
          <w:b/>
          <w:bCs/>
        </w:rPr>
        <w:t>Malaria burden</w:t>
      </w:r>
    </w:p>
    <w:p w14:paraId="445C355D" w14:textId="3CA1BB87" w:rsidR="001B7FDF" w:rsidRPr="00A952D9" w:rsidRDefault="001B7FDF" w:rsidP="001B7FDF">
      <w:pPr>
        <w:spacing w:after="200"/>
      </w:pPr>
      <w:r w:rsidRPr="00A952D9">
        <w:t xml:space="preserve">Subnational Plasmodium falciparum clinical incidence for 2024 was obtained from the Malaria Atlas Project Data Platform </w:t>
      </w:r>
      <w:r w:rsidRPr="00A952D9">
        <w:fldChar w:fldCharType="begin"/>
      </w:r>
      <w:r w:rsidRPr="00A952D9">
        <w:instrText xml:space="preserve"> ADDIN ZOTERO_ITEM CSL_CITATION {"citationID":"qLpj6jRU","properties":{"unsorted":false,"formattedCitation":"(3)","plainCitation":"(3)","noteIndex":0},"citationItems":[{"id":418,"uris":["http://zotero.org/users/18906319/items/WGCHSY26"],"itemData":{"id":418,"type":"webpage","title":"Malaria Atlas Project | Data","URL":"https://data.malariaatlas.org/trends?year=2024&amp;metricGroup=Malaria&amp;geographicLevel=admin0&amp;metricSubcategory=Pf&amp;metricType=rate&amp;metricName=incidence","accessed":{"date-parts":[["2026",8,3]]}}}],"schema":"https://github.com/citation-style-language/schema/raw/master/csl-citation.json"} </w:instrText>
      </w:r>
      <w:r w:rsidRPr="00A952D9">
        <w:fldChar w:fldCharType="separate"/>
      </w:r>
      <w:r w:rsidRPr="00A952D9">
        <w:rPr>
          <w:noProof/>
        </w:rPr>
        <w:t>(3)</w:t>
      </w:r>
      <w:r w:rsidRPr="00A952D9">
        <w:fldChar w:fldCharType="end"/>
      </w:r>
      <w:r w:rsidRPr="00A952D9">
        <w:t xml:space="preserve"> as cases per 1,000 population at admin-1 level. The annual caseload for each region was derived as:</w:t>
      </w:r>
    </w:p>
    <w:p w14:paraId="08F8FC97" w14:textId="21873BC3" w:rsidR="001B7FDF" w:rsidRPr="00A952D9" w:rsidRDefault="001B7FDF" w:rsidP="00B4468D">
      <w:pPr>
        <w:spacing w:after="200"/>
        <w:jc w:val="center"/>
      </w:pPr>
      <w:r w:rsidRPr="00A952D9">
        <w:rPr>
          <w:i/>
          <w:iCs/>
        </w:rPr>
        <w:t xml:space="preserve">C = (incidence per 1,000 / 1,000) x </w:t>
      </w:r>
      <w:proofErr w:type="spellStart"/>
      <w:r w:rsidRPr="00A952D9">
        <w:rPr>
          <w:i/>
          <w:iCs/>
        </w:rPr>
        <w:t>N_population</w:t>
      </w:r>
      <w:proofErr w:type="spellEnd"/>
    </w:p>
    <w:p w14:paraId="58AD9041" w14:textId="365F18B8" w:rsidR="001B7FDF" w:rsidRPr="00A952D9" w:rsidRDefault="001B7FDF" w:rsidP="00091043">
      <w:pPr>
        <w:spacing w:after="200"/>
      </w:pPr>
      <w:r w:rsidRPr="00A952D9">
        <w:t xml:space="preserve">Only Plasmodium falciparum was counted. Plasmodium vivax was excluded for two reasons. Its contribution to the clinical burden across the regions studied is minimal, and the benefit of ivermectin against it is uncertain: P. vivax forms dormant liver-stage hypnozoites that cause relapses weeks to months after the initial infection, so it was assumed that an intervention acting through vector mortality would not prevent relapse from an established liver reservoir. </w:t>
      </w:r>
    </w:p>
    <w:p w14:paraId="528D23F1" w14:textId="77777777" w:rsidR="001B7FDF" w:rsidRPr="00A952D9" w:rsidRDefault="001B7FDF" w:rsidP="001B7FDF">
      <w:pPr>
        <w:spacing w:after="200"/>
      </w:pPr>
      <w:r w:rsidRPr="00A952D9">
        <w:rPr>
          <w:b/>
        </w:rPr>
        <w:t>Uncomplicated and severe case estimates</w:t>
      </w:r>
    </w:p>
    <w:p w14:paraId="0BA8A900" w14:textId="522F967E" w:rsidR="001B7FDF" w:rsidRPr="00A952D9" w:rsidRDefault="001B7FDF" w:rsidP="001B7FDF">
      <w:pPr>
        <w:spacing w:after="200"/>
      </w:pPr>
      <w:r w:rsidRPr="00A952D9">
        <w:t xml:space="preserve">Total cases were split into uncomplicated and severe episodes using in-patient incidence rates from </w:t>
      </w:r>
      <w:proofErr w:type="spellStart"/>
      <w:r w:rsidRPr="00A952D9">
        <w:t>Camponovo</w:t>
      </w:r>
      <w:proofErr w:type="spellEnd"/>
      <w:r w:rsidRPr="00A952D9">
        <w:t xml:space="preserve"> et al. (2017; their Table S3 </w:t>
      </w:r>
      <w:r w:rsidRPr="00A952D9">
        <w:fldChar w:fldCharType="begin"/>
      </w:r>
      <w:r w:rsidRPr="00A952D9">
        <w:instrText xml:space="preserve"> ADDIN ZOTERO_ITEM CSL_CITATION {"citationID":"sQTOk3x0","properties":{"unsorted":false,"formattedCitation":"(4)","plainCitation":"(4)","noteIndex":0},"citationItems":[{"id":427,"uris":["http://zotero.org/users/18906319/items/YSKQDT8Q"],"itemData":{"id":427,"type":"article-journal","abstract":"BACKGROUND: Appropriate treatment of life-threatening Plasmodium falciparum malaria requires in-patient care. Although the proportion of severe cases accessing in-patient care in endemic settings strongly affects overall case fatality rates and thus disease burden, this proportion is generally unknown. At present, estimates of malaria mortality are driven by prevalence or overall clinical incidence data, ignoring differences in case fatality resulting from variations in access. Consequently, the overall impact of preventive interventions on disease burden have not been validly compared with those of improvements in access to case management or its quality.\nMETHODS: Using a simulation-based approach, severe malaria admission rates and the subsequent severe malaria disease and mortality rates for 41 malaria endemic countries of sub-Saharan Africa were estimated. Country differences in transmission and health care settings were captured by use of high spatial resolution data on demographics and falciparum malaria prevalence, as well as national level estimates of effective coverage of treatment for uncomplicated malaria. Reported and modelled estimates of cases, admissions and malaria deaths from the World Malaria Report, along with predicted burden from simulations, were combined to provide revised estimates of access to in-patient care and case fatality rates.\nRESULTS: There is substantial variation between countries' in-patient admission rates and estimated levels of case fatality rates. It was found that for many African countries, most patients admitted for in-patient treatment would not meet strict criteria for severe disease and that for some countries only a small proportion of the total severe cases are admitted. Estimates are highly sensitive to the assumed community case fatality rates. Re-estimation of national level malaria mortality rates suggests that there is substantial burden attributable to inefficient in-patient access and treatment of severe disease.\nCONCLUSIONS: The model-based methods proposed here offer a standardized approach to estimate the numbers of severe malaria cases and deaths based on national level reporting, allowing for coverage of both curative and preventive interventions. This makes possible direct comparisons of the potential benefits of scaling-up either category of interventions. The profound uncertainties around these estimates highlight the need for better data.","container-title":"Malaria Journal","DOI":"10.1186/s12936-016-1650-6","ISSN":"1475-2875","issue":"1","journalAbbreviation":"Malar J","language":"eng","page":"1","PMID":"28049519","PMCID":"PMC5209951","source":"PubMed","title":"Incidence and admission rates for severe malaria and their impact on mortality in Africa","volume":"16","author":[{"family":"Camponovo","given":"Flavia"},{"family":"Bever","given":"Caitlin A."},{"family":"Galactionova","given":"Katya"},{"family":"Smith","given":"Thomas"},{"family":"Penny","given":"Melissa A."}],"issued":{"date-parts":[["2017",1,3]]}}}],"schema":"https://github.com/citation-style-language/schema/raw/master/csl-citation.json"} </w:instrText>
      </w:r>
      <w:r w:rsidRPr="00A952D9">
        <w:fldChar w:fldCharType="separate"/>
      </w:r>
      <w:r w:rsidRPr="00A952D9">
        <w:rPr>
          <w:noProof/>
        </w:rPr>
        <w:t>(4)</w:t>
      </w:r>
      <w:r w:rsidRPr="00A952D9">
        <w:fldChar w:fldCharType="end"/>
      </w:r>
      <w:r w:rsidRPr="00A952D9">
        <w:t xml:space="preserve">), which reports uncomplicated and severe malaria as </w:t>
      </w:r>
      <w:r w:rsidRPr="00A952D9">
        <w:lastRenderedPageBreak/>
        <w:t>annual in-patient rates per 100,000 population. Because these are population-based rates, the denominator is total population rather than the clinical incidence count:</w:t>
      </w:r>
    </w:p>
    <w:p w14:paraId="606818C6" w14:textId="77777777" w:rsidR="001B7FDF" w:rsidRPr="00A952D9" w:rsidRDefault="001B7FDF" w:rsidP="00B4468D">
      <w:pPr>
        <w:spacing w:after="200"/>
        <w:jc w:val="center"/>
      </w:pPr>
      <w:proofErr w:type="spellStart"/>
      <w:r w:rsidRPr="00A952D9">
        <w:rPr>
          <w:i/>
        </w:rPr>
        <w:t>C_uncomplicated</w:t>
      </w:r>
      <w:proofErr w:type="spellEnd"/>
      <w:r w:rsidRPr="00A952D9">
        <w:rPr>
          <w:i/>
        </w:rPr>
        <w:t xml:space="preserve"> = </w:t>
      </w:r>
      <w:proofErr w:type="spellStart"/>
      <w:r w:rsidRPr="00A952D9">
        <w:rPr>
          <w:i/>
        </w:rPr>
        <w:t>N_population</w:t>
      </w:r>
      <w:proofErr w:type="spellEnd"/>
      <w:r w:rsidRPr="00A952D9">
        <w:rPr>
          <w:i/>
        </w:rPr>
        <w:t xml:space="preserve"> x </w:t>
      </w:r>
      <w:proofErr w:type="spellStart"/>
      <w:r w:rsidRPr="00A952D9">
        <w:rPr>
          <w:i/>
        </w:rPr>
        <w:t>r_uncomplicated</w:t>
      </w:r>
      <w:proofErr w:type="spellEnd"/>
      <w:r w:rsidRPr="00A952D9">
        <w:rPr>
          <w:i/>
        </w:rPr>
        <w:t xml:space="preserve"> / 100,000</w:t>
      </w:r>
    </w:p>
    <w:p w14:paraId="148B517A" w14:textId="77777777" w:rsidR="001B7FDF" w:rsidRPr="00A952D9" w:rsidRDefault="001B7FDF" w:rsidP="00B4468D">
      <w:pPr>
        <w:spacing w:after="200"/>
        <w:jc w:val="center"/>
      </w:pPr>
      <w:proofErr w:type="spellStart"/>
      <w:r w:rsidRPr="00A952D9">
        <w:rPr>
          <w:i/>
        </w:rPr>
        <w:t>C_severe</w:t>
      </w:r>
      <w:proofErr w:type="spellEnd"/>
      <w:r w:rsidRPr="00A952D9">
        <w:rPr>
          <w:i/>
        </w:rPr>
        <w:t xml:space="preserve"> = </w:t>
      </w:r>
      <w:proofErr w:type="spellStart"/>
      <w:r w:rsidRPr="00A952D9">
        <w:rPr>
          <w:i/>
        </w:rPr>
        <w:t>N_population</w:t>
      </w:r>
      <w:proofErr w:type="spellEnd"/>
      <w:r w:rsidRPr="00A952D9">
        <w:rPr>
          <w:i/>
        </w:rPr>
        <w:t xml:space="preserve"> x </w:t>
      </w:r>
      <w:proofErr w:type="spellStart"/>
      <w:r w:rsidRPr="00A952D9">
        <w:rPr>
          <w:i/>
        </w:rPr>
        <w:t>r_severe</w:t>
      </w:r>
      <w:proofErr w:type="spellEnd"/>
      <w:r w:rsidRPr="00A952D9">
        <w:rPr>
          <w:i/>
        </w:rPr>
        <w:t xml:space="preserve"> / 100,000</w:t>
      </w:r>
    </w:p>
    <w:p w14:paraId="3FC17E3A" w14:textId="77777777" w:rsidR="001B7FDF" w:rsidRPr="00A952D9" w:rsidRDefault="001B7FDF" w:rsidP="001B7FDF">
      <w:pPr>
        <w:spacing w:after="200"/>
      </w:pPr>
      <w:r w:rsidRPr="00A952D9">
        <w:t xml:space="preserve">where </w:t>
      </w:r>
      <w:proofErr w:type="spellStart"/>
      <w:r w:rsidRPr="00A952D9">
        <w:t>r_uncomplicated</w:t>
      </w:r>
      <w:proofErr w:type="spellEnd"/>
      <w:r w:rsidRPr="00A952D9">
        <w:t xml:space="preserve"> and </w:t>
      </w:r>
      <w:proofErr w:type="spellStart"/>
      <w:r w:rsidRPr="00A952D9">
        <w:t>r_severe</w:t>
      </w:r>
      <w:proofErr w:type="spellEnd"/>
      <w:r w:rsidRPr="00A952D9">
        <w:t xml:space="preserve"> are the country-level in-patient rates. The two counts are used only to apportion averted cases between the uncomplicated and severe unit costs, so it is their ratio rather than their absolute level that enters the model.</w:t>
      </w:r>
    </w:p>
    <w:p w14:paraId="3FC66310" w14:textId="6BF9B64D" w:rsidR="001B7FDF" w:rsidRPr="00A952D9" w:rsidRDefault="001B7FDF" w:rsidP="001B7FDF">
      <w:pPr>
        <w:spacing w:after="200"/>
      </w:pPr>
      <w:r w:rsidRPr="00A952D9">
        <w:t>Two countries are reported with an uncomplicated in-patient rate of zero: Liberia and Sierra Leone, w</w:t>
      </w:r>
      <w:r w:rsidR="0033767D">
        <w:t>ith</w:t>
      </w:r>
      <w:r w:rsidRPr="00A952D9">
        <w:t xml:space="preserve"> severe rates </w:t>
      </w:r>
      <w:r w:rsidR="0033767D">
        <w:t>of</w:t>
      </w:r>
      <w:r w:rsidRPr="00A952D9">
        <w:t xml:space="preserve"> 697 and 618 per 100,000 respectively. All in-patient malaria in those settings is therefore classified as severe, which reflects incomplete reporting in the source data rather than a genuine absence of uncomplicated in-patient cases. The consequence within the model is that every averted case in the 18 affected regions, 15 in Liberia and three in Sierra Leone, is valued at the severe rather than the uncomplicated unit cost, which overstates averted-treatment savings there. These regions were retained rather than excluded, since the split effects only how averted cases are valued and not how many are averted.</w:t>
      </w:r>
    </w:p>
    <w:p w14:paraId="4FB19D2A" w14:textId="77777777" w:rsidR="001B7FDF" w:rsidRPr="00A952D9" w:rsidRDefault="001B7FDF" w:rsidP="001B7FDF">
      <w:pPr>
        <w:spacing w:after="200"/>
      </w:pPr>
      <w:r w:rsidRPr="00A952D9">
        <w:rPr>
          <w:b/>
        </w:rPr>
        <w:t>DALYs per malaria case</w:t>
      </w:r>
    </w:p>
    <w:p w14:paraId="6BE74087" w14:textId="70AA9B93" w:rsidR="001B7FDF" w:rsidRPr="00A952D9" w:rsidRDefault="001B7FDF" w:rsidP="001B7FDF">
      <w:pPr>
        <w:spacing w:after="200"/>
      </w:pPr>
      <w:r w:rsidRPr="00A952D9">
        <w:t xml:space="preserve">The health gain from an averted case is valued using a country-specific DALY burden per malaria case. This was derived by dividing the WHO Global Health Observatory estimate of malaria DALYs per 100,000 population (2021) by the clinical malaria incidence per 100,000 population for the same country </w:t>
      </w:r>
      <w:r w:rsidRPr="00A952D9">
        <w:fldChar w:fldCharType="begin"/>
      </w:r>
      <w:r w:rsidRPr="00A952D9">
        <w:instrText xml:space="preserve"> ADDIN ZOTERO_ITEM CSL_CITATION {"citationID":"Jl6T7Nnx","properties":{"unsorted":false,"formattedCitation":"(5)","plainCitation":"(5)","noteIndex":0},"citationItems":[{"id":365,"uris":["http://zotero.org/users/18906319/items/CBUTER4W"],"itemData":{"id":365,"type":"webpage","language":"en","title":"Leading causes of DALYs","URL":"https://www.who.int/data/gho/data/themes/mortality-and-global-health-estimates/global-health-estimates-leading-causes-of-dalys","accessed":{"date-parts":[["2026",7,26]]}}}],"schema":"https://github.com/citation-style-language/schema/raw/master/csl-citation.json"} </w:instrText>
      </w:r>
      <w:r w:rsidRPr="00A952D9">
        <w:fldChar w:fldCharType="separate"/>
      </w:r>
      <w:r w:rsidRPr="00A952D9">
        <w:rPr>
          <w:noProof/>
        </w:rPr>
        <w:t>(5)</w:t>
      </w:r>
      <w:r w:rsidRPr="00A952D9">
        <w:fldChar w:fldCharType="end"/>
      </w:r>
      <w:r w:rsidRPr="00A952D9">
        <w:t>:</w:t>
      </w:r>
    </w:p>
    <w:p w14:paraId="21A366F1" w14:textId="5C1F3CE7" w:rsidR="001B7FDF" w:rsidRPr="00A952D9" w:rsidRDefault="001B7FDF" w:rsidP="001B7FDF">
      <w:pPr>
        <w:spacing w:after="200"/>
      </w:pPr>
      <w:proofErr w:type="spellStart"/>
      <w:r w:rsidRPr="00A952D9">
        <w:rPr>
          <w:i/>
        </w:rPr>
        <w:t>d_malaria</w:t>
      </w:r>
      <w:proofErr w:type="spellEnd"/>
      <w:r w:rsidRPr="00A952D9">
        <w:rPr>
          <w:i/>
        </w:rPr>
        <w:t xml:space="preserve"> = (WHO malaria DALYs per 100,000 </w:t>
      </w:r>
      <w:proofErr w:type="gramStart"/>
      <w:r w:rsidRPr="00A952D9">
        <w:rPr>
          <w:i/>
        </w:rPr>
        <w:t>population )</w:t>
      </w:r>
      <w:proofErr w:type="gramEnd"/>
      <w:r w:rsidRPr="00A952D9">
        <w:rPr>
          <w:i/>
        </w:rPr>
        <w:t xml:space="preserve"> / </w:t>
      </w:r>
      <w:proofErr w:type="gramStart"/>
      <w:r w:rsidRPr="00A952D9">
        <w:rPr>
          <w:i/>
        </w:rPr>
        <w:t>( clinical</w:t>
      </w:r>
      <w:proofErr w:type="gramEnd"/>
      <w:r w:rsidRPr="00A952D9">
        <w:rPr>
          <w:i/>
        </w:rPr>
        <w:t xml:space="preserve"> malaria incidence per 100,000 </w:t>
      </w:r>
      <w:proofErr w:type="gramStart"/>
      <w:r w:rsidRPr="00A952D9">
        <w:rPr>
          <w:i/>
        </w:rPr>
        <w:t>population )</w:t>
      </w:r>
      <w:proofErr w:type="gramEnd"/>
    </w:p>
    <w:p w14:paraId="14B0F49C" w14:textId="35705657" w:rsidR="001B7FDF" w:rsidRPr="00A952D9" w:rsidRDefault="001B7FDF" w:rsidP="001B7FDF">
      <w:pPr>
        <w:spacing w:after="200"/>
      </w:pPr>
      <w:r w:rsidRPr="00A952D9">
        <w:t xml:space="preserve">Values range from 0.104 DALYs per case in Ghana to 0.370 in Mali. The denominator is the same clinical incidence measure used to construct total cases, so the ratio is internally consistent: multiplying cases averted by </w:t>
      </w:r>
      <w:proofErr w:type="spellStart"/>
      <w:r w:rsidRPr="00A952D9">
        <w:t>d_malaria</w:t>
      </w:r>
      <w:proofErr w:type="spellEnd"/>
      <w:r w:rsidRPr="00A952D9">
        <w:t xml:space="preserve"> recovers the corresponding share of the national DALY burden. </w:t>
      </w:r>
    </w:p>
    <w:p w14:paraId="63A4BBF8" w14:textId="77777777" w:rsidR="001B7FDF" w:rsidRPr="00A952D9" w:rsidRDefault="001B7FDF" w:rsidP="001B7FDF">
      <w:pPr>
        <w:spacing w:after="200"/>
      </w:pPr>
      <w:r w:rsidRPr="00A952D9">
        <w:t>This approach attributes the full national malaria DALY burden, including mortality, proportionally across clinical cases, rather than modelling deaths separately. It therefore assumes that averted cases carry the average severity mix of all cases in that country. Because the comparison is between two doses of the same drug and the same weight applies to both arms, the assumption affects the absolute scale of DALYs gained but not the direction of the incremental result. Disability weights were held fixed at their base-case values throughout all sensitivity and probabilistic analyses.</w:t>
      </w:r>
    </w:p>
    <w:p w14:paraId="0EA6647E" w14:textId="77777777" w:rsidR="00B4468D" w:rsidRPr="00B4468D" w:rsidRDefault="00B4468D" w:rsidP="00B4468D">
      <w:pPr>
        <w:numPr>
          <w:ilvl w:val="0"/>
          <w:numId w:val="1"/>
        </w:numPr>
        <w:spacing w:after="200"/>
      </w:pPr>
      <w:r w:rsidRPr="00B4468D">
        <w:t>Region names were reconciled between ESPEN, the Malaria Atlas Project and the boundary shapefile by accent-stripping, case-folding and removal of non-alphanumeric characters, with a manual crosswalk for the remaining mismatches. All 202 regions across 23 countries were matched.</w:t>
      </w:r>
    </w:p>
    <w:p w14:paraId="56502A46" w14:textId="77777777" w:rsidR="00A952D9" w:rsidRPr="00A952D9" w:rsidRDefault="00A952D9" w:rsidP="001B7FDF">
      <w:pPr>
        <w:spacing w:after="200"/>
      </w:pPr>
    </w:p>
    <w:p w14:paraId="208BAAFD" w14:textId="77777777" w:rsidR="001B7FDF" w:rsidRPr="00A952D9" w:rsidRDefault="001B7FDF" w:rsidP="001B7FDF">
      <w:pPr>
        <w:spacing w:after="200"/>
      </w:pPr>
      <w:r w:rsidRPr="00A952D9">
        <w:rPr>
          <w:b/>
          <w:bCs/>
        </w:rPr>
        <w:t>Cost data</w:t>
      </w:r>
    </w:p>
    <w:p w14:paraId="292B5F63" w14:textId="67E83340" w:rsidR="001B7FDF" w:rsidRPr="00A952D9" w:rsidRDefault="001B7FDF" w:rsidP="001B7FDF">
      <w:pPr>
        <w:spacing w:after="200"/>
      </w:pPr>
      <w:r w:rsidRPr="00A952D9">
        <w:t xml:space="preserve">Country-level unit costs for an outpatient visit and an inpatient bed-day were taken from the WHO-CHOICE estimates and inflated to 2024 US dollars </w:t>
      </w:r>
      <w:r w:rsidR="00782F7B" w:rsidRPr="00A952D9">
        <w:fldChar w:fldCharType="begin"/>
      </w:r>
      <w:r w:rsidR="00782F7B" w:rsidRPr="00A952D9">
        <w:instrText xml:space="preserve"> ADDIN ZOTERO_ITEM CSL_CITATION {"citationID":"NWOpZWo7","properties":{"unsorted":false,"formattedCitation":"(6)","plainCitation":"(6)","noteIndex":0},"citationItems":[{"id":361,"uris":["http://zotero.org/users/18906319/items/DQ456QFD"],"itemData":{"id":361,"type":"webpage","abstract":"Publications of the World Health Organization","language":"en","title":"WHO-CHOICE estimates of cost for inpatient and outpatient health service delivery","URL":"https://www.who.int/publications/m/item/who-choice-estimates-of-cost-for-inpatient-and-outpatient-health-service-delivery","accessed":{"date-parts":[["2026",7,26]]}}}],"schema":"https://github.com/citation-style-language/schema/raw/master/csl-citation.json"} </w:instrText>
      </w:r>
      <w:r w:rsidR="00782F7B" w:rsidRPr="00A952D9">
        <w:fldChar w:fldCharType="separate"/>
      </w:r>
      <w:r w:rsidR="00782F7B" w:rsidRPr="00A952D9">
        <w:rPr>
          <w:noProof/>
        </w:rPr>
        <w:t>(6)</w:t>
      </w:r>
      <w:r w:rsidR="00782F7B" w:rsidRPr="00A952D9">
        <w:fldChar w:fldCharType="end"/>
      </w:r>
      <w:r w:rsidRPr="00A952D9">
        <w:t>. Costs of treating uncomplicated and severe malaria were taken from published literature where country-specific estimates existed</w:t>
      </w:r>
      <w:r w:rsidR="00782F7B" w:rsidRPr="00A952D9">
        <w:t xml:space="preserve"> (Table S10)</w:t>
      </w:r>
      <w:r w:rsidRPr="00A952D9">
        <w:t xml:space="preserve">. </w:t>
      </w:r>
      <w:r w:rsidRPr="00A952D9">
        <w:lastRenderedPageBreak/>
        <w:t>Where they did not, values were imputed from a country of comparable GDP per capita and malaria epidemiology; the proxy applied to each country is listed in Table S</w:t>
      </w:r>
      <w:r w:rsidR="00CA12BF">
        <w:t>13</w:t>
      </w:r>
      <w:r w:rsidRPr="00A952D9">
        <w:t>.</w:t>
      </w:r>
    </w:p>
    <w:p w14:paraId="7FF72AA2" w14:textId="77777777" w:rsidR="001B7FDF" w:rsidRPr="00A952D9" w:rsidRDefault="001B7FDF" w:rsidP="001B7FDF">
      <w:pPr>
        <w:spacing w:after="200"/>
      </w:pPr>
      <w:r w:rsidRPr="00A952D9">
        <w:t xml:space="preserve">Two country-level inputs underpin the delivery-cost calculations. Salaries for a senior programme manager and a district health officer were compiled by searching national job advertisements and salary listings for each of the 23 </w:t>
      </w:r>
      <w:proofErr w:type="gramStart"/>
      <w:r w:rsidRPr="00A952D9">
        <w:t>countries, and</w:t>
      </w:r>
      <w:proofErr w:type="gramEnd"/>
      <w:r w:rsidRPr="00A952D9">
        <w:t xml:space="preserve"> are held as country-level annual means. Retail fuel prices in US dollars per litre were taken from GlobalPetrolPrices.com (accessed 25 May 2026). Prices were unavailable for Chad and the Republic of Congo, for which the most recent earlier published figure was used or, failing that, a value was approximated from neighbouring countries; both are among the lower-priced countries in the set, so the approximation is conservative with respect to delivery cost.</w:t>
      </w:r>
    </w:p>
    <w:p w14:paraId="482B889B" w14:textId="38E16B5B" w:rsidR="001B7FDF" w:rsidRPr="00A952D9" w:rsidRDefault="001B7FDF" w:rsidP="001B7FDF">
      <w:pPr>
        <w:spacing w:after="200"/>
      </w:pPr>
      <w:r w:rsidRPr="00A952D9">
        <w:t>Programme (transition) costs</w:t>
      </w:r>
      <w:r w:rsidR="00782F7B" w:rsidRPr="00A952D9">
        <w:t xml:space="preserve"> (S3 Text)</w:t>
      </w:r>
      <w:r w:rsidRPr="00A952D9">
        <w:t xml:space="preserve"> were available only as a national total and were applied as a country-level lump sum divided evenly across constituent regions. Planning costs were constructed bottom-up from their components: distributor and supervisor time, per diem, transport, fuel, meeting venue and materials</w:t>
      </w:r>
      <w:r w:rsidR="00782F7B" w:rsidRPr="00A952D9">
        <w:t xml:space="preserve"> (S3 Text)</w:t>
      </w:r>
      <w:r w:rsidRPr="00A952D9">
        <w:t>. Both streams were adjusted to country-specific fuel prices. The per-region value is therefore:</w:t>
      </w:r>
    </w:p>
    <w:p w14:paraId="4924709C" w14:textId="77777777" w:rsidR="001B7FDF" w:rsidRPr="00A952D9" w:rsidRDefault="001B7FDF" w:rsidP="001B7FDF">
      <w:pPr>
        <w:spacing w:after="200"/>
      </w:pPr>
      <w:proofErr w:type="spellStart"/>
      <w:r w:rsidRPr="00A952D9">
        <w:rPr>
          <w:i/>
          <w:iCs/>
        </w:rPr>
        <w:t>Cost_region</w:t>
      </w:r>
      <w:proofErr w:type="spellEnd"/>
      <w:r w:rsidRPr="00A952D9">
        <w:rPr>
          <w:i/>
          <w:iCs/>
        </w:rPr>
        <w:t xml:space="preserve"> = </w:t>
      </w:r>
      <w:proofErr w:type="spellStart"/>
      <w:r w:rsidRPr="00A952D9">
        <w:rPr>
          <w:i/>
          <w:iCs/>
        </w:rPr>
        <w:t>Cost_country</w:t>
      </w:r>
      <w:proofErr w:type="spellEnd"/>
      <w:r w:rsidRPr="00A952D9">
        <w:rPr>
          <w:i/>
          <w:iCs/>
        </w:rPr>
        <w:t xml:space="preserve"> / </w:t>
      </w:r>
      <w:proofErr w:type="spellStart"/>
      <w:r w:rsidRPr="00A952D9">
        <w:rPr>
          <w:i/>
          <w:iCs/>
        </w:rPr>
        <w:t>n_regions_in_country</w:t>
      </w:r>
      <w:proofErr w:type="spellEnd"/>
    </w:p>
    <w:p w14:paraId="1600E365" w14:textId="593DC9EA" w:rsidR="001B7FDF" w:rsidRPr="00A952D9" w:rsidRDefault="001B7FDF" w:rsidP="001B7FDF">
      <w:pPr>
        <w:spacing w:after="200"/>
      </w:pPr>
      <w:r w:rsidRPr="00A952D9">
        <w:t xml:space="preserve">This is a simplification: it removes genuine within-country variation in delivery cost, </w:t>
      </w:r>
      <w:r w:rsidR="0033767D">
        <w:t>which</w:t>
      </w:r>
      <w:r w:rsidRPr="00A952D9">
        <w:t xml:space="preserve"> is addressed in the Limitations of the main text.</w:t>
      </w:r>
    </w:p>
    <w:p w14:paraId="25DB8628" w14:textId="77777777" w:rsidR="00782F7B" w:rsidRPr="00A952D9" w:rsidRDefault="00782F7B" w:rsidP="00782F7B">
      <w:pPr>
        <w:spacing w:after="200"/>
      </w:pPr>
      <w:r w:rsidRPr="00A952D9">
        <w:rPr>
          <w:b/>
        </w:rPr>
        <w:t>Currency conversion</w:t>
      </w:r>
    </w:p>
    <w:p w14:paraId="71B66FD0" w14:textId="45B9F4C9" w:rsidR="00782F7B" w:rsidRPr="00A952D9" w:rsidRDefault="00782F7B" w:rsidP="00782F7B">
      <w:pPr>
        <w:spacing w:after="200"/>
      </w:pPr>
      <w:r w:rsidRPr="00A952D9">
        <w:t>Inpatient bed-day and outpatient visit unit costs are published by WHO-CHOICE in 2010 international dollars</w:t>
      </w:r>
      <w:r w:rsidR="0033767D">
        <w:t xml:space="preserve"> </w:t>
      </w:r>
      <w:r w:rsidR="0033767D">
        <w:fldChar w:fldCharType="begin"/>
      </w:r>
      <w:r w:rsidR="0033767D">
        <w:instrText xml:space="preserve"> ADDIN ZOTERO_ITEM CSL_CITATION {"citationID":"3tNyv1U7","properties":{"unsorted":false,"formattedCitation":"(6)","plainCitation":"(6)","noteIndex":0},"citationItems":[{"id":361,"uris":["http://zotero.org/users/18906319/items/DQ456QFD"],"itemData":{"id":361,"type":"webpage","abstract":"Publications of the World Health Organization","language":"en","title":"WHO-CHOICE estimates of cost for inpatient and outpatient health service delivery","URL":"https://www.who.int/publications/m/item/who-choice-estimates-of-cost-for-inpatient-and-outpatient-health-service-delivery","accessed":{"date-parts":[["2026",7,26]]}}}],"schema":"https://github.com/citation-style-language/schema/raw/master/csl-citation.json"} </w:instrText>
      </w:r>
      <w:r w:rsidR="0033767D">
        <w:fldChar w:fldCharType="separate"/>
      </w:r>
      <w:r w:rsidR="0033767D">
        <w:rPr>
          <w:noProof/>
        </w:rPr>
        <w:t>(6)</w:t>
      </w:r>
      <w:r w:rsidR="0033767D">
        <w:fldChar w:fldCharType="end"/>
      </w:r>
      <w:r w:rsidRPr="00A952D9">
        <w:t xml:space="preserve">, a purchasing-power-parity currency. Every other cost input in the model, drug procurement prices, salaries, fuel and logistics, is denominated in market-exchange US dollars. </w:t>
      </w:r>
    </w:p>
    <w:p w14:paraId="7EEC831B" w14:textId="77777777" w:rsidR="00782F7B" w:rsidRPr="00A952D9" w:rsidRDefault="00782F7B" w:rsidP="00782F7B">
      <w:pPr>
        <w:spacing w:after="200"/>
      </w:pPr>
      <w:r w:rsidRPr="00A952D9">
        <w:t>Two country-specific adjustments were applied. A cost in international dollars equals local currency divided by the PPP conversion factor, whereas the same local amount in US dollars is local currency divided by the official exchange rate; the ratio of these two terms is the country's price-level ratio. The resulting 2010 US-dollar value was then inflated to 2024 using the US GDP deflator (85.058 to 119.027, a factor of 1.3994), so that it is comparable with the remaining current-dollar inputs:</w:t>
      </w:r>
    </w:p>
    <w:p w14:paraId="526EAF73" w14:textId="77777777" w:rsidR="00782F7B" w:rsidRPr="00A952D9" w:rsidRDefault="00782F7B" w:rsidP="00782F7B">
      <w:pPr>
        <w:spacing w:after="200"/>
      </w:pPr>
      <w:r w:rsidRPr="00A952D9">
        <w:rPr>
          <w:i/>
        </w:rPr>
        <w:t xml:space="preserve">US$2024 = I$2010 x </w:t>
      </w:r>
      <w:proofErr w:type="gramStart"/>
      <w:r w:rsidRPr="00A952D9">
        <w:rPr>
          <w:i/>
        </w:rPr>
        <w:t>( PPP</w:t>
      </w:r>
      <w:proofErr w:type="gramEnd"/>
      <w:r w:rsidRPr="00A952D9">
        <w:rPr>
          <w:i/>
        </w:rPr>
        <w:t xml:space="preserve"> conversion factor / official exchange </w:t>
      </w:r>
      <w:proofErr w:type="gramStart"/>
      <w:r w:rsidRPr="00A952D9">
        <w:rPr>
          <w:i/>
        </w:rPr>
        <w:t>rate )</w:t>
      </w:r>
      <w:proofErr w:type="gramEnd"/>
      <w:r w:rsidRPr="00A952D9">
        <w:rPr>
          <w:i/>
        </w:rPr>
        <w:t xml:space="preserve"> x 1.3994</w:t>
      </w:r>
    </w:p>
    <w:p w14:paraId="42620159" w14:textId="09F09F69" w:rsidR="001B7FDF" w:rsidRPr="00A952D9" w:rsidRDefault="00782F7B" w:rsidP="001B7FDF">
      <w:pPr>
        <w:spacing w:after="200"/>
      </w:pPr>
      <w:r w:rsidRPr="00A952D9">
        <w:t>Price-level ratios and combined conversion factors are given in Table S</w:t>
      </w:r>
      <w:r w:rsidR="00CA12BF">
        <w:t>14</w:t>
      </w:r>
      <w:r w:rsidRPr="00A952D9">
        <w:t>. Two countries required separate treatment. Liberia's national accounts are compiled in US dollars, so the World Bank PPP conversion factor is already the price-level ratio</w:t>
      </w:r>
      <w:r w:rsidR="0033767D">
        <w:t>,</w:t>
      </w:r>
      <w:r w:rsidRPr="00A952D9">
        <w:t xml:space="preserve"> and no exchange-rate division was applied. South Sudan had no separate currency in 2010, so the 2011 price-level ratio, the first available, was used as a proxy. Combined factors range from 0.416 for Ethiopia to 0.805 for the Republic of Congo, so converted inpatient and outpatient costs fall to between 42% and 80% of their published values. No other cost input is affected.</w:t>
      </w:r>
    </w:p>
    <w:p w14:paraId="1AD1D6ED" w14:textId="77777777" w:rsidR="00782F7B" w:rsidRPr="00A952D9" w:rsidRDefault="00782F7B" w:rsidP="00782F7B">
      <w:pPr>
        <w:spacing w:after="200"/>
      </w:pPr>
      <w:r w:rsidRPr="00A952D9">
        <w:rPr>
          <w:b/>
        </w:rPr>
        <w:t>Treatment unit costs and country proxies</w:t>
      </w:r>
    </w:p>
    <w:p w14:paraId="7F2EFC9D" w14:textId="16F5E391" w:rsidR="00782F7B" w:rsidRPr="00A952D9" w:rsidRDefault="00782F7B" w:rsidP="00782F7B">
      <w:pPr>
        <w:spacing w:after="200"/>
      </w:pPr>
      <w:r w:rsidRPr="00A952D9">
        <w:t>Unit costs for treating an episode of uncomplicated and of severe malaria were assembled from published cost-of-illness and costing studies covering sub-Saharan Africa (Table S10). A country-specific estimate was used wherever one existed. Where a source reported a range rather than a point estimate, or where two comparable estimates were available for the same country, the midpoint or mean was taken. Where no estimate existed for a country, a value was transferred from a country judged comparable on GDP per capita and malaria epidemiology, producing groups of countries that share an identical unit cost (Table S</w:t>
      </w:r>
      <w:r w:rsidR="00CA12BF">
        <w:t>13</w:t>
      </w:r>
      <w:r w:rsidRPr="00A952D9">
        <w:t xml:space="preserve">). Eleven distinct uncomplicated values and </w:t>
      </w:r>
      <w:r w:rsidRPr="00A952D9">
        <w:lastRenderedPageBreak/>
        <w:t>eleven severe values cover the 23 countries; nine countries carry a unique value and the remainder fall into shared groups of two to six.</w:t>
      </w:r>
    </w:p>
    <w:p w14:paraId="489E0DEB" w14:textId="447274FD" w:rsidR="00782F7B" w:rsidRPr="00A952D9" w:rsidRDefault="00782F7B" w:rsidP="00782F7B">
      <w:pPr>
        <w:spacing w:after="200"/>
      </w:pPr>
      <w:r w:rsidRPr="00A952D9">
        <w:t>Two derivations illustrate the procedure. The severe-malaria costs for Malawi ($108.74) and Mozambique ($58.02) are the provider costs reported by Mori et al. (</w:t>
      </w:r>
      <w:r w:rsidR="00E056E7">
        <w:fldChar w:fldCharType="begin"/>
      </w:r>
      <w:r w:rsidR="00E056E7">
        <w:instrText xml:space="preserve"> ADDIN ZOTERO_ITEM CSL_CITATION {"citationID":"BKsuP6xs","properties":{"unsorted":false,"formattedCitation":"(7)","plainCitation":"(7)","noteIndex":0},"citationItems":[{"id":445,"uris":["http://zotero.org/users/18906319/items/7SMYGPVJ"],"itemData":{"id":445,"type":"article-journal","abstract":"BACKGROUND: Malaria is a major cause of ill health and death in children in Africa. The disease also imposes a severe social and economic burden on households and health systems and is strongly associated with poverty. This study summarizes the most up-to-date cost of treating severe malaria in children in Africa.\nMETHODS: A systematic search was conducted in PubMed, Embase, Cinahl, and Web of Science databases. Google and Google Scholar were searched for grey literature followed by scanning of the reference lists of the previous systematic reviews. The search was limited to children &lt; 12 years, malaria-endemic countries in Africa, and the English language. All costs were adjusted to the year 2023.\nRESULTS: 19 studies conducted in 12 countries were identified: 14 reported provider costs, and 11 household costs. Out of the 19 studies found, 11 were published before 2018 while 11 reported data that are currently more than ten years old. Studies varied methodologically and in the scope of resources included to estimate the cost. The provider costs ranged from USD 27 in Uganda to USD 165 per patient in Kenya (median value USD 90), while household costs ranged from USD 13 in Kenya to USD 245 per patient in Gabon (median value USD 50). All identified household malaria treatment costs except one represented catastrophic health expenditure, making out more than 10% of the monthly Gross National Income per capita in the respective countries.\nCONCLUSION: Evidence on the cost of treating severe malaria in children in Africa is scarce. However, the few existing studies show that severe malaria in children imposes a significant economic burden on the providers and households. More studies are needed, particularly in high-burden high-impact countries, to inform resource allocation decisions.","container-title":"Malaria Journal","DOI":"10.1186/s12936-024-05173-w","ISSN":"1475-2875","issue":"1","journalAbbreviation":"Malar J","language":"eng","page":"334","PMID":"39522014","PMCID":"PMC11550527","source":"PubMed","title":"Cost of treating severe malaria in children in Africa: a systematic literature review","title-short":"Cost of treating severe malaria in children in Africa","volume":"23","author":[{"family":"Mori","given":"Amani Thomas"},{"family":"Mallange","given":"Grace"},{"family":"Kühl","given":"Melf-Jakob"},{"family":"Okell","given":"Lucy"}],"issued":{"date-parts":[["2024",11,9]]}}}],"schema":"https://github.com/citation-style-language/schema/raw/master/csl-citation.json"} </w:instrText>
      </w:r>
      <w:r w:rsidR="00E056E7">
        <w:fldChar w:fldCharType="separate"/>
      </w:r>
      <w:r w:rsidR="00E056E7">
        <w:rPr>
          <w:noProof/>
        </w:rPr>
        <w:t>(7)</w:t>
      </w:r>
      <w:r w:rsidR="00E056E7">
        <w:fldChar w:fldCharType="end"/>
      </w:r>
      <w:r w:rsidRPr="00A952D9">
        <w:t>, Table 2</w:t>
      </w:r>
      <w:r w:rsidR="00E056E7">
        <w:t>; Table S10</w:t>
      </w:r>
      <w:r w:rsidRPr="00A952D9">
        <w:t xml:space="preserve">), adjusted by those authors to 2023 US dollars. The uncomplicated cost of $28.50 applied to the Democratic Republic of the Congo is the midpoint of the US$22–35 range reported by the national malaria control programme, and the $4.10 applied to Benin and Burkina Faso is the health-system outpatient cost for Burkina Faso in </w:t>
      </w:r>
      <w:proofErr w:type="spellStart"/>
      <w:r w:rsidRPr="00A952D9">
        <w:t>Adjagba</w:t>
      </w:r>
      <w:proofErr w:type="spellEnd"/>
      <w:r w:rsidRPr="00A952D9">
        <w:t xml:space="preserve"> et al. (2019, Table 1</w:t>
      </w:r>
      <w:r w:rsidR="00E056E7">
        <w:t>; Table S10</w:t>
      </w:r>
      <w:r w:rsidRPr="00A952D9">
        <w:t>).</w:t>
      </w:r>
    </w:p>
    <w:p w14:paraId="04215289" w14:textId="48C65DC1" w:rsidR="00782F7B" w:rsidRPr="00A952D9" w:rsidRDefault="00782F7B" w:rsidP="00782F7B">
      <w:pPr>
        <w:spacing w:after="200"/>
      </w:pPr>
      <w:r w:rsidRPr="00A952D9">
        <w:t xml:space="preserve">Groupings of countries were assigned primarily </w:t>
      </w:r>
      <w:proofErr w:type="gramStart"/>
      <w:r w:rsidRPr="00A952D9">
        <w:t>on the basis of</w:t>
      </w:r>
      <w:proofErr w:type="gramEnd"/>
      <w:r w:rsidRPr="00A952D9">
        <w:t xml:space="preserve"> GDP per capita and mean health-worker salary, transferring a costing to countries economically comparable to the one for which it was estimated. Tested against World Bank GDP per capita for 2023 (Table S</w:t>
      </w:r>
      <w:r w:rsidR="00584F52">
        <w:t>13</w:t>
      </w:r>
      <w:r w:rsidRPr="00A952D9">
        <w:t>), the imputation holds reasonably well: in seven of the nine multi-country groups the within-group spread in GDP per capita is only 1.2 to 1.8-fold, against an 11.6-fold range across all 23 countries. The four countries sharing an uncomplicated cost of $9.79 (Angola, Cameroon, Congo and Côte d'Ivoire) are the richest group at $1,720 to $2,886, those sharing $9.75 sit below them at $950 to $1,556, and the two lowest-cost groups contain the lowest-income countries. Countries sharing a value are therefore, for the most part, genuinely similar in income.</w:t>
      </w:r>
    </w:p>
    <w:p w14:paraId="0D680566" w14:textId="77777777" w:rsidR="00782F7B" w:rsidRPr="00A952D9" w:rsidRDefault="00782F7B" w:rsidP="00782F7B">
      <w:pPr>
        <w:spacing w:after="200"/>
      </w:pPr>
      <w:r w:rsidRPr="00A952D9">
        <w:t xml:space="preserve">Two features nonetheless warrant caution. First, two groups are internally wider: Burundi, the poorest country in the dataset at $250 per capita, is paired with Malawi ($633) at an uncomplicated cost of $3.18 and grouped for severe malaria with countries up to Chad ($950), spans of 2.5 and 3.8-fold. Second, and more important, the level assigned to the fragile-state group is difficult to reconcile with income. The Democratic Republic of </w:t>
      </w:r>
      <w:proofErr w:type="gramStart"/>
      <w:r w:rsidRPr="00A952D9">
        <w:t>the Congo</w:t>
      </w:r>
      <w:proofErr w:type="gramEnd"/>
      <w:r w:rsidRPr="00A952D9">
        <w:t>, Liberia, Sierra Leone and South Sudan share an uncomplicated cost of $28.50, the highest in the dataset, yet they are among the poorest countries in it and their GDP per capita is the tightest of any group at $660 to $799. The imputation is thus internally consistent for this group but sits opposite to the otherwise monotonic income gradient, giving the highest uncomplicated-malaria treatment cost to four of the lowest-income states.</w:t>
      </w:r>
    </w:p>
    <w:p w14:paraId="6AA3D34C" w14:textId="4BD10AF1" w:rsidR="00782F7B" w:rsidRPr="00A952D9" w:rsidRDefault="00782F7B" w:rsidP="00782F7B">
      <w:pPr>
        <w:spacing w:after="200"/>
      </w:pPr>
      <w:r w:rsidRPr="00A952D9">
        <w:t xml:space="preserve">The direction of any resulting bias is known. Uncomplicated and severe unit costs enter the model only through averted-treatment savings, so an overstated unit cost inflates the savings attributed to a region and makes escalation appear more favourable. The fragile-state group accounts for 52 of the 202 regions and for 35% of total averted-treatment savings under the realistic scenario. </w:t>
      </w:r>
    </w:p>
    <w:p w14:paraId="64FAA73A" w14:textId="6B8191C2" w:rsidR="00782F7B" w:rsidRPr="00A952D9" w:rsidRDefault="00782F7B" w:rsidP="00782F7B">
      <w:pPr>
        <w:spacing w:after="140" w:line="280" w:lineRule="auto"/>
        <w:jc w:val="both"/>
      </w:pPr>
    </w:p>
    <w:p w14:paraId="0E279A68" w14:textId="77777777" w:rsidR="00044B99" w:rsidRDefault="00044B99" w:rsidP="00782F7B">
      <w:pPr>
        <w:spacing w:after="140" w:line="280" w:lineRule="auto"/>
        <w:jc w:val="both"/>
        <w:rPr>
          <w:b/>
          <w:sz w:val="19"/>
        </w:rPr>
      </w:pPr>
    </w:p>
    <w:p w14:paraId="56CDF5FF" w14:textId="7110E814" w:rsidR="00782F7B" w:rsidRDefault="00782F7B" w:rsidP="00782F7B">
      <w:pPr>
        <w:spacing w:after="140" w:line="280" w:lineRule="auto"/>
        <w:jc w:val="both"/>
      </w:pPr>
    </w:p>
    <w:p w14:paraId="1ACDCA69" w14:textId="77777777" w:rsidR="00091043" w:rsidRDefault="00091043"/>
    <w:p w14:paraId="2E34A670" w14:textId="77777777" w:rsidR="00F3401A" w:rsidRDefault="00F3401A"/>
    <w:p w14:paraId="5928EFFC" w14:textId="77777777" w:rsidR="00F3401A" w:rsidRDefault="00F3401A"/>
    <w:p w14:paraId="0A5AB807" w14:textId="77777777" w:rsidR="00F3401A" w:rsidRDefault="00F3401A"/>
    <w:p w14:paraId="5E67D4ED" w14:textId="77777777" w:rsidR="00F3401A" w:rsidRDefault="00F3401A"/>
    <w:p w14:paraId="1C12EBF1" w14:textId="77777777" w:rsidR="00F3401A" w:rsidRDefault="00F3401A"/>
    <w:p w14:paraId="125FEBC3" w14:textId="77777777" w:rsidR="00F3401A" w:rsidRDefault="00F3401A"/>
    <w:p w14:paraId="44DC9797" w14:textId="77777777" w:rsidR="00F3401A" w:rsidRDefault="00F3401A"/>
    <w:p w14:paraId="503086B5" w14:textId="77777777" w:rsidR="00F3401A" w:rsidRDefault="00F3401A"/>
    <w:p w14:paraId="2B4A1C85" w14:textId="77777777" w:rsidR="00F3401A" w:rsidRDefault="00F3401A"/>
    <w:p w14:paraId="6AC3FCFF" w14:textId="77777777" w:rsidR="00F3401A" w:rsidRDefault="00F3401A"/>
    <w:p w14:paraId="1BA7F299" w14:textId="77777777" w:rsidR="00F3401A" w:rsidRDefault="00F3401A"/>
    <w:p w14:paraId="02B59867" w14:textId="77777777" w:rsidR="00F3401A" w:rsidRDefault="00F3401A"/>
    <w:p w14:paraId="6B0F84C5" w14:textId="12203FDC" w:rsidR="00091043" w:rsidRDefault="000159D8" w:rsidP="000159D8">
      <w:pPr>
        <w:pStyle w:val="Heading2"/>
      </w:pPr>
      <w:r>
        <w:t>References</w:t>
      </w:r>
    </w:p>
    <w:p w14:paraId="505C2906" w14:textId="77777777" w:rsidR="000159D8" w:rsidRDefault="000159D8" w:rsidP="000159D8">
      <w:pPr>
        <w:rPr>
          <w:lang w:eastAsia="en-US"/>
        </w:rPr>
      </w:pPr>
    </w:p>
    <w:p w14:paraId="526B6ED7" w14:textId="77777777" w:rsidR="00E056E7" w:rsidRPr="00E056E7" w:rsidRDefault="000159D8" w:rsidP="00E056E7">
      <w:pPr>
        <w:pStyle w:val="Bibliography"/>
        <w:rPr>
          <w:lang w:eastAsia="en-US"/>
        </w:rPr>
      </w:pPr>
      <w:r>
        <w:rPr>
          <w:lang w:eastAsia="en-US"/>
        </w:rPr>
        <w:fldChar w:fldCharType="begin"/>
      </w:r>
      <w:r>
        <w:rPr>
          <w:lang w:eastAsia="en-US"/>
        </w:rPr>
        <w:instrText xml:space="preserve"> ADDIN ZOTERO_BIBL {"uncited":[],"omitted":[],"custom":[]} CSL_BIBLIOGRAPHY </w:instrText>
      </w:r>
      <w:r>
        <w:rPr>
          <w:lang w:eastAsia="en-US"/>
        </w:rPr>
        <w:fldChar w:fldCharType="separate"/>
      </w:r>
      <w:r w:rsidR="00E056E7" w:rsidRPr="00E056E7">
        <w:rPr>
          <w:lang w:eastAsia="en-US"/>
        </w:rPr>
        <w:t>1.</w:t>
      </w:r>
      <w:r w:rsidR="00E056E7" w:rsidRPr="00E056E7">
        <w:rPr>
          <w:lang w:eastAsia="en-US"/>
        </w:rPr>
        <w:tab/>
        <w:t>Cartography database | ESPEN [Internet]. [cited 2026 Aug 3]. Available from: https://espen.afro.who.int/maps-data/data-query-tools/cartography-database</w:t>
      </w:r>
    </w:p>
    <w:p w14:paraId="7E8814D4" w14:textId="77777777" w:rsidR="00E056E7" w:rsidRPr="00E056E7" w:rsidRDefault="00E056E7" w:rsidP="00E056E7">
      <w:pPr>
        <w:pStyle w:val="Bibliography"/>
        <w:rPr>
          <w:lang w:eastAsia="en-US"/>
        </w:rPr>
      </w:pPr>
      <w:r w:rsidRPr="00E056E7">
        <w:rPr>
          <w:lang w:eastAsia="en-US"/>
        </w:rPr>
        <w:t>2.</w:t>
      </w:r>
      <w:r w:rsidRPr="00E056E7">
        <w:rPr>
          <w:lang w:eastAsia="en-US"/>
        </w:rPr>
        <w:tab/>
        <w:t xml:space="preserve">Patel C, </w:t>
      </w:r>
      <w:proofErr w:type="spellStart"/>
      <w:r w:rsidRPr="00E056E7">
        <w:rPr>
          <w:lang w:eastAsia="en-US"/>
        </w:rPr>
        <w:t>Hürlimann</w:t>
      </w:r>
      <w:proofErr w:type="spellEnd"/>
      <w:r w:rsidRPr="00E056E7">
        <w:rPr>
          <w:lang w:eastAsia="en-US"/>
        </w:rPr>
        <w:t xml:space="preserve"> E, Keller L, Hattendorf J, </w:t>
      </w:r>
      <w:proofErr w:type="spellStart"/>
      <w:r w:rsidRPr="00E056E7">
        <w:rPr>
          <w:lang w:eastAsia="en-US"/>
        </w:rPr>
        <w:t>Sayasone</w:t>
      </w:r>
      <w:proofErr w:type="spellEnd"/>
      <w:r w:rsidRPr="00E056E7">
        <w:rPr>
          <w:lang w:eastAsia="en-US"/>
        </w:rPr>
        <w:t xml:space="preserve"> S, Ali SM, et al. Efficacy and safety of ivermectin and albendazole co-administration in school-aged children and adults infected with Trichuris </w:t>
      </w:r>
      <w:proofErr w:type="spellStart"/>
      <w:r w:rsidRPr="00E056E7">
        <w:rPr>
          <w:lang w:eastAsia="en-US"/>
        </w:rPr>
        <w:t>trichiura</w:t>
      </w:r>
      <w:proofErr w:type="spellEnd"/>
      <w:r w:rsidRPr="00E056E7">
        <w:rPr>
          <w:lang w:eastAsia="en-US"/>
        </w:rPr>
        <w:t>: study protocol for a multi-country randomized controlled double-blind trial. BMC Infect Dis. 2019 Mar 18;19(1):262. doi:10.1186/s12879-019-3882-x</w:t>
      </w:r>
    </w:p>
    <w:p w14:paraId="45940A58" w14:textId="77777777" w:rsidR="00E056E7" w:rsidRPr="00E056E7" w:rsidRDefault="00E056E7" w:rsidP="00E056E7">
      <w:pPr>
        <w:pStyle w:val="Bibliography"/>
        <w:rPr>
          <w:lang w:eastAsia="en-US"/>
        </w:rPr>
      </w:pPr>
      <w:r w:rsidRPr="00E056E7">
        <w:rPr>
          <w:lang w:eastAsia="en-US"/>
        </w:rPr>
        <w:t>3.</w:t>
      </w:r>
      <w:r w:rsidRPr="00E056E7">
        <w:rPr>
          <w:lang w:eastAsia="en-US"/>
        </w:rPr>
        <w:tab/>
        <w:t>Malaria Atlas Project | Data [Internet]. [cited 2026 Aug 3]. Available from: https://data.malariaatlas.org/trends?year=2024&amp;metricGroup=Malaria&amp;geographicLevel=admin0&amp;metricSubcategory=Pf&amp;metricType=rate&amp;metricName=incidence</w:t>
      </w:r>
    </w:p>
    <w:p w14:paraId="5B5D9913" w14:textId="77777777" w:rsidR="00E056E7" w:rsidRPr="00E056E7" w:rsidRDefault="00E056E7" w:rsidP="00E056E7">
      <w:pPr>
        <w:pStyle w:val="Bibliography"/>
        <w:rPr>
          <w:lang w:eastAsia="en-US"/>
        </w:rPr>
      </w:pPr>
      <w:r w:rsidRPr="00E056E7">
        <w:rPr>
          <w:lang w:eastAsia="en-US"/>
        </w:rPr>
        <w:t>4.</w:t>
      </w:r>
      <w:r w:rsidRPr="00E056E7">
        <w:rPr>
          <w:lang w:eastAsia="en-US"/>
        </w:rPr>
        <w:tab/>
      </w:r>
      <w:proofErr w:type="spellStart"/>
      <w:r w:rsidRPr="00E056E7">
        <w:rPr>
          <w:lang w:eastAsia="en-US"/>
        </w:rPr>
        <w:t>Camponovo</w:t>
      </w:r>
      <w:proofErr w:type="spellEnd"/>
      <w:r w:rsidRPr="00E056E7">
        <w:rPr>
          <w:lang w:eastAsia="en-US"/>
        </w:rPr>
        <w:t xml:space="preserve"> F, Bever CA, </w:t>
      </w:r>
      <w:proofErr w:type="spellStart"/>
      <w:r w:rsidRPr="00E056E7">
        <w:rPr>
          <w:lang w:eastAsia="en-US"/>
        </w:rPr>
        <w:t>Galactionova</w:t>
      </w:r>
      <w:proofErr w:type="spellEnd"/>
      <w:r w:rsidRPr="00E056E7">
        <w:rPr>
          <w:lang w:eastAsia="en-US"/>
        </w:rPr>
        <w:t xml:space="preserve"> K, Smith T, Penny MA. Incidence and admission rates for severe malaria and their impact on mortality in Africa. Malar J. 2017 Jan 3;16(1):1. doi:10.1186/s12936-016-1650-6 PubMed PMID: 28049519; PubMed Central PMCID: PMC5209951.</w:t>
      </w:r>
    </w:p>
    <w:p w14:paraId="30C65634" w14:textId="77777777" w:rsidR="00E056E7" w:rsidRPr="00E056E7" w:rsidRDefault="00E056E7" w:rsidP="00E056E7">
      <w:pPr>
        <w:pStyle w:val="Bibliography"/>
        <w:rPr>
          <w:lang w:eastAsia="en-US"/>
        </w:rPr>
      </w:pPr>
      <w:r w:rsidRPr="00E056E7">
        <w:rPr>
          <w:lang w:eastAsia="en-US"/>
        </w:rPr>
        <w:t>5.</w:t>
      </w:r>
      <w:r w:rsidRPr="00E056E7">
        <w:rPr>
          <w:lang w:eastAsia="en-US"/>
        </w:rPr>
        <w:tab/>
        <w:t>Leading causes of DALYs [Internet]. [cited 2026 Jul 26]. Available from: https://www.who.int/data/gho/data/themes/mortality-and-global-health-estimates/global-health-estimates-leading-causes-of-dalys</w:t>
      </w:r>
    </w:p>
    <w:p w14:paraId="43E5DCBC" w14:textId="77777777" w:rsidR="00E056E7" w:rsidRPr="00E056E7" w:rsidRDefault="00E056E7" w:rsidP="00E056E7">
      <w:pPr>
        <w:pStyle w:val="Bibliography"/>
        <w:rPr>
          <w:lang w:eastAsia="en-US"/>
        </w:rPr>
      </w:pPr>
      <w:r w:rsidRPr="00E056E7">
        <w:rPr>
          <w:lang w:eastAsia="en-US"/>
        </w:rPr>
        <w:t>6.</w:t>
      </w:r>
      <w:r w:rsidRPr="00E056E7">
        <w:rPr>
          <w:lang w:eastAsia="en-US"/>
        </w:rPr>
        <w:tab/>
        <w:t>WHO-CHOICE estimates of cost for inpatient and outpatient health service delivery [Internet]. [cited 2026 Jul 26]. Available from: https://www.who.int/publications/m/item/who-choice-estimates-of-cost-for-inpatient-and-outpatient-health-service-delivery</w:t>
      </w:r>
    </w:p>
    <w:p w14:paraId="6451FBF3" w14:textId="77777777" w:rsidR="00E056E7" w:rsidRPr="00E056E7" w:rsidRDefault="00E056E7" w:rsidP="00E056E7">
      <w:pPr>
        <w:pStyle w:val="Bibliography"/>
        <w:rPr>
          <w:lang w:eastAsia="en-US"/>
        </w:rPr>
      </w:pPr>
      <w:r w:rsidRPr="00E056E7">
        <w:rPr>
          <w:lang w:eastAsia="en-US"/>
        </w:rPr>
        <w:t>7.</w:t>
      </w:r>
      <w:r w:rsidRPr="00E056E7">
        <w:rPr>
          <w:lang w:eastAsia="en-US"/>
        </w:rPr>
        <w:tab/>
        <w:t xml:space="preserve">Mori AT, </w:t>
      </w:r>
      <w:proofErr w:type="spellStart"/>
      <w:r w:rsidRPr="00E056E7">
        <w:rPr>
          <w:lang w:eastAsia="en-US"/>
        </w:rPr>
        <w:t>Mallange</w:t>
      </w:r>
      <w:proofErr w:type="spellEnd"/>
      <w:r w:rsidRPr="00E056E7">
        <w:rPr>
          <w:lang w:eastAsia="en-US"/>
        </w:rPr>
        <w:t xml:space="preserve"> G, Kühl MJ, Okell L. Cost of treating severe malaria in children in Africa: a systematic literature review. Malar J. 2024 Nov 9;23(1):334. doi:10.1186/s12936-024-05173-w PubMed PMID: 39522014; PubMed Central PMCID: PMC11550527.</w:t>
      </w:r>
    </w:p>
    <w:p w14:paraId="333EC1B7" w14:textId="383B8972" w:rsidR="000159D8" w:rsidRPr="000159D8" w:rsidRDefault="000159D8" w:rsidP="00E056E7">
      <w:pPr>
        <w:pStyle w:val="Bibliography"/>
        <w:rPr>
          <w:lang w:eastAsia="en-US"/>
        </w:rPr>
      </w:pPr>
      <w:r>
        <w:rPr>
          <w:lang w:eastAsia="en-US"/>
        </w:rPr>
        <w:fldChar w:fldCharType="end"/>
      </w:r>
    </w:p>
    <w:sectPr w:rsidR="000159D8" w:rsidRPr="00015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C5475"/>
    <w:multiLevelType w:val="hybridMultilevel"/>
    <w:tmpl w:val="8D92A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5161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43"/>
    <w:rsid w:val="000159D8"/>
    <w:rsid w:val="00044B99"/>
    <w:rsid w:val="00091043"/>
    <w:rsid w:val="001B7FDF"/>
    <w:rsid w:val="0033767D"/>
    <w:rsid w:val="00435334"/>
    <w:rsid w:val="00584F52"/>
    <w:rsid w:val="005A679C"/>
    <w:rsid w:val="007438FB"/>
    <w:rsid w:val="0076675A"/>
    <w:rsid w:val="00782F7B"/>
    <w:rsid w:val="00A952D9"/>
    <w:rsid w:val="00AF09B0"/>
    <w:rsid w:val="00B4468D"/>
    <w:rsid w:val="00C0780D"/>
    <w:rsid w:val="00CA12BF"/>
    <w:rsid w:val="00E056E7"/>
    <w:rsid w:val="00F23269"/>
    <w:rsid w:val="00F34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A88F7"/>
  <w15:chartTrackingRefBased/>
  <w15:docId w15:val="{E8074BFE-9FD5-2C44-8BBE-0BA41FDB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043"/>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0910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0910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0910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9104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9104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9104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9104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9104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9104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43"/>
    <w:rPr>
      <w:rFonts w:eastAsiaTheme="majorEastAsia" w:cstheme="majorBidi"/>
      <w:color w:val="272727" w:themeColor="text1" w:themeTint="D8"/>
    </w:rPr>
  </w:style>
  <w:style w:type="paragraph" w:styleId="Title">
    <w:name w:val="Title"/>
    <w:basedOn w:val="Normal"/>
    <w:next w:val="Normal"/>
    <w:link w:val="TitleChar"/>
    <w:uiPriority w:val="10"/>
    <w:qFormat/>
    <w:rsid w:val="0009104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9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9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43"/>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91043"/>
    <w:rPr>
      <w:i/>
      <w:iCs/>
      <w:color w:val="404040" w:themeColor="text1" w:themeTint="BF"/>
    </w:rPr>
  </w:style>
  <w:style w:type="paragraph" w:styleId="ListParagraph">
    <w:name w:val="List Paragraph"/>
    <w:basedOn w:val="Normal"/>
    <w:uiPriority w:val="34"/>
    <w:qFormat/>
    <w:rsid w:val="00091043"/>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091043"/>
    <w:rPr>
      <w:i/>
      <w:iCs/>
      <w:color w:val="0F4761" w:themeColor="accent1" w:themeShade="BF"/>
    </w:rPr>
  </w:style>
  <w:style w:type="paragraph" w:styleId="IntenseQuote">
    <w:name w:val="Intense Quote"/>
    <w:basedOn w:val="Normal"/>
    <w:next w:val="Normal"/>
    <w:link w:val="IntenseQuoteChar"/>
    <w:uiPriority w:val="30"/>
    <w:qFormat/>
    <w:rsid w:val="000910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91043"/>
    <w:rPr>
      <w:i/>
      <w:iCs/>
      <w:color w:val="0F4761" w:themeColor="accent1" w:themeShade="BF"/>
    </w:rPr>
  </w:style>
  <w:style w:type="character" w:styleId="IntenseReference">
    <w:name w:val="Intense Reference"/>
    <w:basedOn w:val="DefaultParagraphFont"/>
    <w:uiPriority w:val="32"/>
    <w:qFormat/>
    <w:rsid w:val="00091043"/>
    <w:rPr>
      <w:b/>
      <w:bCs/>
      <w:smallCaps/>
      <w:color w:val="0F4761" w:themeColor="accent1" w:themeShade="BF"/>
      <w:spacing w:val="5"/>
    </w:rPr>
  </w:style>
  <w:style w:type="table" w:styleId="TableGrid">
    <w:name w:val="Table Grid"/>
    <w:basedOn w:val="TableNormal"/>
    <w:uiPriority w:val="39"/>
    <w:rsid w:val="0078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2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2F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0159D8"/>
  </w:style>
  <w:style w:type="character" w:styleId="Emphasis">
    <w:name w:val="Emphasis"/>
    <w:basedOn w:val="DefaultParagraphFont"/>
    <w:uiPriority w:val="20"/>
    <w:qFormat/>
    <w:rsid w:val="00F232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3797</Words>
  <Characters>21648</Characters>
  <Application>Microsoft Office Word</Application>
  <DocSecurity>0</DocSecurity>
  <Lines>180</Lines>
  <Paragraphs>50</Paragraphs>
  <ScaleCrop>false</ScaleCrop>
  <Company/>
  <LinksUpToDate>false</LinksUpToDate>
  <CharactersWithSpaces>25395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12</cp:revision>
  <dcterms:created xsi:type="dcterms:W3CDTF">2026-08-04T22:21:00Z</dcterms:created>
  <dcterms:modified xsi:type="dcterms:W3CDTF">2026-08-06T13:52:00Z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id="jcnhUAZl"/&gt;&lt;style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