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198B20" w14:textId="06A814F9" w:rsidR="00091043" w:rsidRDefault="00091043" w:rsidP="00091043">
      <w:pPr>
        <w:pStyle w:val="Heading2"/>
      </w:pPr>
      <w:r>
        <w:t>Supplementary Methods</w:t>
      </w:r>
    </w:p>
    <w:p w14:paraId="21A76C3B" w14:textId="77777777" w:rsidR="00091043" w:rsidRDefault="00091043" w:rsidP="00091043">
      <w:pPr>
        <w:spacing w:after="200"/>
        <w:rPr>
          <w:sz w:val="26"/>
          <w:szCs w:val="26"/>
        </w:rPr>
      </w:pPr>
    </w:p>
    <w:p w14:paraId="54DC213C" w14:textId="1147F2AB" w:rsidR="00471196" w:rsidRDefault="00091043" w:rsidP="00471196">
      <w:pPr>
        <w:pStyle w:val="Heading3"/>
      </w:pPr>
      <w:r>
        <w:t>S</w:t>
      </w:r>
      <w:r w:rsidR="00FC4428">
        <w:t>4</w:t>
      </w:r>
      <w:r w:rsidR="00F31C15">
        <w:t xml:space="preserve">: </w:t>
      </w:r>
      <w:r w:rsidR="00FC4428">
        <w:t>Sensitivity and Uncertainty Analysis</w:t>
      </w:r>
    </w:p>
    <w:p w14:paraId="30B25729" w14:textId="77777777" w:rsidR="00471196" w:rsidRPr="004C3E89" w:rsidRDefault="00471196" w:rsidP="00471196"/>
    <w:p w14:paraId="1DA2CE88" w14:textId="77777777" w:rsidR="00FC4428" w:rsidRPr="004C3E89" w:rsidRDefault="00FC4428" w:rsidP="00FC4428">
      <w:pPr>
        <w:spacing w:after="200"/>
      </w:pPr>
      <w:r w:rsidRPr="004C3E89">
        <w:rPr>
          <w:b/>
          <w:bCs/>
        </w:rPr>
        <w:t>One-way deterministic analysis</w:t>
      </w:r>
    </w:p>
    <w:p w14:paraId="09D9F048" w14:textId="7C500AF9" w:rsidR="00FC4428" w:rsidRPr="004C3E89" w:rsidRDefault="00FC4428" w:rsidP="00FC4428">
      <w:pPr>
        <w:spacing w:after="200"/>
      </w:pPr>
      <w:r w:rsidRPr="004C3E89">
        <w:t xml:space="preserve">Deterministic sensitivity analysis was conducted independently of the scenario structure. Sensitivity to a parameter is a property of the model rather than of any </w:t>
      </w:r>
      <w:proofErr w:type="gramStart"/>
      <w:r w:rsidRPr="004C3E89">
        <w:t>particular set</w:t>
      </w:r>
      <w:proofErr w:type="gramEnd"/>
      <w:r w:rsidRPr="004C3E89">
        <w:t xml:space="preserve"> of assumptions, so each parameter was varied across the full range spanned by all three scenarios, with every other parameter held at a single central base case rather than at scenario-specific values. Results are displayed as tornado diagrams for net cost, net DALYs averted and net monetary benefit, with parameters ordered by the width of the outcome range produced. Bars are split at the base case and coloured by direction, so that the effect of the low and the high end of each range can be distinguished. Because the three outcomes are on incompatible scales, each panel carries its own horizontal axis, with money expressed in millions and DALYs in thousands</w:t>
      </w:r>
      <w:r w:rsidR="00B8336D" w:rsidRPr="004C3E89">
        <w:t xml:space="preserve"> (Figure </w:t>
      </w:r>
      <w:r w:rsidR="004A4F8F">
        <w:t>1</w:t>
      </w:r>
      <w:r w:rsidR="00B8336D" w:rsidRPr="004C3E89">
        <w:t>)</w:t>
      </w:r>
      <w:r w:rsidRPr="004C3E89">
        <w:t>.</w:t>
      </w:r>
    </w:p>
    <w:p w14:paraId="08E3A877" w14:textId="77777777" w:rsidR="00FC4428" w:rsidRPr="004C3E89" w:rsidRDefault="00FC4428" w:rsidP="00FC4428">
      <w:pPr>
        <w:spacing w:after="200"/>
      </w:pPr>
      <w:r w:rsidRPr="004C3E89">
        <w:rPr>
          <w:b/>
          <w:bCs/>
        </w:rPr>
        <w:t>Conditional analysis</w:t>
      </w:r>
    </w:p>
    <w:p w14:paraId="20C29A73" w14:textId="77777777" w:rsidR="00FC4428" w:rsidRPr="004C3E89" w:rsidRDefault="00FC4428" w:rsidP="00FC4428">
      <w:pPr>
        <w:spacing w:after="200"/>
      </w:pPr>
      <w:r w:rsidRPr="004C3E89">
        <w:t>Because IDE scales the whole malaria benefit, its variation masks that of every other parameter. A conditional analysis was therefore run in which IDE was held fixed at successive levels and each remaining parameter varied individually across the same full ranges. Results are reported as percentage change from the base case at that efficacy level:</w:t>
      </w:r>
    </w:p>
    <w:p w14:paraId="64ABF09D" w14:textId="77777777" w:rsidR="00FC4428" w:rsidRPr="004C3E89" w:rsidRDefault="00FC4428" w:rsidP="00FC4428">
      <w:pPr>
        <w:spacing w:after="200"/>
      </w:pPr>
      <w:r w:rsidRPr="004C3E89">
        <w:rPr>
          <w:i/>
          <w:iCs/>
        </w:rPr>
        <w:t xml:space="preserve">percentage change = </w:t>
      </w:r>
      <w:proofErr w:type="gramStart"/>
      <w:r w:rsidRPr="004C3E89">
        <w:rPr>
          <w:i/>
          <w:iCs/>
        </w:rPr>
        <w:t>( outcome</w:t>
      </w:r>
      <w:proofErr w:type="gramEnd"/>
      <w:r w:rsidRPr="004C3E89">
        <w:rPr>
          <w:i/>
          <w:iCs/>
        </w:rPr>
        <w:t xml:space="preserve"> - </w:t>
      </w:r>
      <w:proofErr w:type="spellStart"/>
      <w:r w:rsidRPr="004C3E89">
        <w:rPr>
          <w:i/>
          <w:iCs/>
        </w:rPr>
        <w:t>outcome_base</w:t>
      </w:r>
      <w:proofErr w:type="spellEnd"/>
      <w:r w:rsidRPr="004C3E89">
        <w:rPr>
          <w:i/>
          <w:iCs/>
        </w:rPr>
        <w:t xml:space="preserve"> at that </w:t>
      </w:r>
      <w:proofErr w:type="gramStart"/>
      <w:r w:rsidRPr="004C3E89">
        <w:rPr>
          <w:i/>
          <w:iCs/>
        </w:rPr>
        <w:t>IDE )</w:t>
      </w:r>
      <w:proofErr w:type="gramEnd"/>
      <w:r w:rsidRPr="004C3E89">
        <w:rPr>
          <w:i/>
          <w:iCs/>
        </w:rPr>
        <w:t xml:space="preserve"> / </w:t>
      </w:r>
      <w:proofErr w:type="spellStart"/>
      <w:r w:rsidRPr="004C3E89">
        <w:rPr>
          <w:i/>
          <w:iCs/>
        </w:rPr>
        <w:t>outcome_base</w:t>
      </w:r>
      <w:proofErr w:type="spellEnd"/>
      <w:r w:rsidRPr="004C3E89">
        <w:rPr>
          <w:i/>
          <w:iCs/>
        </w:rPr>
        <w:t xml:space="preserve"> at that IDE x 100</w:t>
      </w:r>
    </w:p>
    <w:p w14:paraId="333A91C6" w14:textId="5E25764F" w:rsidR="00FC4428" w:rsidRPr="004C3E89" w:rsidRDefault="00FC4428" w:rsidP="00FC4428">
      <w:pPr>
        <w:spacing w:after="200"/>
      </w:pPr>
      <w:r w:rsidRPr="004C3E89">
        <w:t>The denominator is the absolute value of the base case, because net cost is negative and dividing by a negative base would invert the apparent direction of every effect. The horizontal axis is shared across efficacy levels so that magnitudes can be compared between them, which is the purpose of the analysis</w:t>
      </w:r>
      <w:r w:rsidR="00B8336D" w:rsidRPr="004C3E89">
        <w:t xml:space="preserve"> (Figures </w:t>
      </w:r>
      <w:r w:rsidR="00B8336D" w:rsidRPr="004A4F8F">
        <w:t>S</w:t>
      </w:r>
      <w:r w:rsidR="004A4F8F" w:rsidRPr="004A4F8F">
        <w:t>1</w:t>
      </w:r>
      <w:r w:rsidR="00B8336D" w:rsidRPr="004A4F8F">
        <w:t>-</w:t>
      </w:r>
      <w:r w:rsidR="004A4F8F" w:rsidRPr="004A4F8F">
        <w:t>3</w:t>
      </w:r>
      <w:r w:rsidR="00B8336D" w:rsidRPr="004A4F8F">
        <w:t>)</w:t>
      </w:r>
      <w:r w:rsidRPr="004A4F8F">
        <w:t>.</w:t>
      </w:r>
      <w:r w:rsidRPr="004C3E89">
        <w:t xml:space="preserve"> </w:t>
      </w:r>
    </w:p>
    <w:p w14:paraId="68F7317E" w14:textId="77777777" w:rsidR="00FC4428" w:rsidRPr="004C3E89" w:rsidRDefault="00FC4428" w:rsidP="00FC4428">
      <w:pPr>
        <w:spacing w:after="200"/>
      </w:pPr>
      <w:r w:rsidRPr="004C3E89">
        <w:rPr>
          <w:b/>
          <w:bCs/>
        </w:rPr>
        <w:t>Multivariate analysis</w:t>
      </w:r>
    </w:p>
    <w:p w14:paraId="6E32A36F" w14:textId="77777777" w:rsidR="00FC4428" w:rsidRPr="004C3E89" w:rsidRDefault="00FC4428" w:rsidP="00FC4428">
      <w:pPr>
        <w:spacing w:after="200"/>
      </w:pPr>
      <w:r w:rsidRPr="004C3E89">
        <w:t>A full factorial grid over all uncertain parameters was evaluated at three levels each. For each parameter in turn, the distribution of outcomes is shown with that parameter held at each of its levels while all others vary across the grid, so that displacement between levels reflects the influence of that parameter and the width of each distribution reflects the variation contributed by the remainder. Incremental dose efficacy is included as one parameter among the others rather than as a conditioning variable, so the analysis ranks parameters by relative influence across the whole space. This is a deterministic multi-way analysis over discrete levels, not a probabilistic sampling procedure.</w:t>
      </w:r>
    </w:p>
    <w:p w14:paraId="27B4D269" w14:textId="77777777" w:rsidR="00FC4428" w:rsidRPr="004C3E89" w:rsidRDefault="00FC4428" w:rsidP="00FC4428">
      <w:pPr>
        <w:spacing w:after="200"/>
      </w:pPr>
      <w:r w:rsidRPr="004C3E89">
        <w:rPr>
          <w:b/>
          <w:bCs/>
        </w:rPr>
        <w:t>Probabilistic analysis</w:t>
      </w:r>
    </w:p>
    <w:p w14:paraId="5EF8CE00" w14:textId="77777777" w:rsidR="00FC4428" w:rsidRPr="004C3E89" w:rsidRDefault="00FC4428" w:rsidP="00FC4428">
      <w:pPr>
        <w:spacing w:after="200"/>
      </w:pPr>
      <w:r w:rsidRPr="004C3E89">
        <w:t>Uncertainty across all sampled parameters was assessed by Monte Carlo simulation. For each scenario, 5,000 draws were taken, with every uncertain parameter drawn independently from a uniform distribution across its scenario-specific range, and the model evaluated for all 202 regions at each draw. Region-level results were summed to programme totals within each draw, so the same set of draws underpins both the programme-level summaries and the per-region distributions. Uniform distributions were used because published distributions were unavailable for most parameters; the consequence is that extreme and central values are treated as equally likely, which widens the reported intervals relative to a peaked distribution.</w:t>
      </w:r>
    </w:p>
    <w:p w14:paraId="6FCEA092" w14:textId="77777777" w:rsidR="00FC4428" w:rsidRPr="004C3E89" w:rsidRDefault="00FC4428" w:rsidP="00FC4428">
      <w:pPr>
        <w:spacing w:after="200"/>
      </w:pPr>
      <w:r w:rsidRPr="004C3E89">
        <w:lastRenderedPageBreak/>
        <w:t xml:space="preserve">Outcomes are summarised as the median and 2.5th-97.5th percentiles across draws. </w:t>
      </w:r>
    </w:p>
    <w:p w14:paraId="58D1414A" w14:textId="4F506BB7" w:rsidR="00FC4428" w:rsidRPr="004C3E89" w:rsidRDefault="00FC4428" w:rsidP="00FC4428">
      <w:pPr>
        <w:spacing w:after="200"/>
        <w:rPr>
          <w:b/>
          <w:bCs/>
        </w:rPr>
      </w:pPr>
      <w:r w:rsidRPr="004C3E89">
        <w:rPr>
          <w:b/>
          <w:bCs/>
        </w:rPr>
        <w:t>PSA</w:t>
      </w:r>
    </w:p>
    <w:p w14:paraId="0A03B743" w14:textId="64F2FC98" w:rsidR="00FC4428" w:rsidRPr="004C3E89" w:rsidRDefault="00FC4428" w:rsidP="00FC4428">
      <w:pPr>
        <w:spacing w:after="200"/>
      </w:pPr>
      <w:r w:rsidRPr="004C3E89">
        <w:t>The probability of cost-effectiveness at a given threshold is the proportion of draws in which net monetary benefit exceeds zero, and repeating this across thresholds yields the cost-effectiveness acceptability curve. At a threshold of zero this quantity is the probability that escalation is cost-saving irrespective of health gain.</w:t>
      </w:r>
    </w:p>
    <w:p w14:paraId="34D19DD7" w14:textId="2F5246DC" w:rsidR="00FC4428" w:rsidRPr="004C3E89" w:rsidRDefault="00FC4428" w:rsidP="00FC4428">
      <w:pPr>
        <w:spacing w:after="200"/>
        <w:rPr>
          <w:b/>
          <w:bCs/>
        </w:rPr>
      </w:pPr>
      <w:r w:rsidRPr="004C3E89">
        <w:rPr>
          <w:b/>
          <w:bCs/>
        </w:rPr>
        <w:t>DALYS fixed</w:t>
      </w:r>
    </w:p>
    <w:p w14:paraId="4B9A2FF9" w14:textId="77777777" w:rsidR="00FC4428" w:rsidRPr="004C3E89" w:rsidRDefault="00FC4428" w:rsidP="00FC4428">
      <w:pPr>
        <w:spacing w:after="200"/>
      </w:pPr>
      <w:r w:rsidRPr="004C3E89">
        <w:t>Disability weights were held constant throughout all sensitivity and probabilistic analyses. The comparison is incremental against a fixed low-dose reference which carries no DALY uncertainty of its own, so attributing variance to the DALY weights of the escalated dose alone would not be appropriate, and the reported intervals consequently exclude uncertainty in disability weighting. The DALY burden per serious adverse event nonetheless varies between draws, because it is a case-fatality-weighted average of the fixed fatal and non-fatal weights and the case-fatality ratio is itself sampled.</w:t>
      </w:r>
    </w:p>
    <w:p w14:paraId="752F4ADB" w14:textId="77777777" w:rsidR="00FC4428" w:rsidRPr="004C3E89" w:rsidRDefault="00FC4428" w:rsidP="00FC4428">
      <w:pPr>
        <w:spacing w:after="200"/>
      </w:pPr>
      <w:r w:rsidRPr="004C3E89">
        <w:rPr>
          <w:b/>
          <w:bCs/>
        </w:rPr>
        <w:t>Break-even efficacy</w:t>
      </w:r>
    </w:p>
    <w:p w14:paraId="3257A6E0" w14:textId="77777777" w:rsidR="00FC4428" w:rsidRPr="004C3E89" w:rsidRDefault="00FC4428" w:rsidP="00FC4428">
      <w:pPr>
        <w:spacing w:after="200"/>
      </w:pPr>
      <w:r w:rsidRPr="004C3E89">
        <w:t xml:space="preserve">The efficacy at which escalation exactly pays for itself was identified by sweeping IDE from zero upwards in fine increments, with all other parameters held at their scenario-central values, and locating the value at which net monetary benefit crosses zero. Presenting IDE on a continuous axis avoids the division by a near-zero base that makes IDE = 0 unusable in percentage-change form. Because coverage does not vary with efficacy, cases averted are exactly proportional to IDE, so the same sweep is additionally expressed as the number of malaria cases averted </w:t>
      </w:r>
      <w:proofErr w:type="gramStart"/>
      <w:r w:rsidRPr="004C3E89">
        <w:t>programme-wide</w:t>
      </w:r>
      <w:proofErr w:type="gramEnd"/>
      <w:r w:rsidRPr="004C3E89">
        <w:t>.</w:t>
      </w:r>
    </w:p>
    <w:p w14:paraId="2F10270A" w14:textId="77777777" w:rsidR="005C2315" w:rsidRDefault="005C2315" w:rsidP="00796B25">
      <w:pPr>
        <w:spacing w:after="200"/>
        <w:rPr>
          <w:iCs/>
          <w:sz w:val="26"/>
          <w:szCs w:val="26"/>
        </w:rPr>
      </w:pPr>
    </w:p>
    <w:p w14:paraId="2BFCAFD0" w14:textId="3E806545" w:rsidR="00796B25" w:rsidRPr="00796B25" w:rsidRDefault="00796B25" w:rsidP="00DB2D04">
      <w:pPr>
        <w:pStyle w:val="Bibliography"/>
        <w:ind w:left="0" w:firstLine="0"/>
        <w:rPr>
          <w:iCs/>
          <w:sz w:val="26"/>
          <w:szCs w:val="26"/>
        </w:rPr>
      </w:pPr>
    </w:p>
    <w:sectPr w:rsidR="00796B25" w:rsidRPr="00796B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043"/>
    <w:rsid w:val="00044B99"/>
    <w:rsid w:val="00071732"/>
    <w:rsid w:val="00091043"/>
    <w:rsid w:val="001B7FDF"/>
    <w:rsid w:val="002A305E"/>
    <w:rsid w:val="00307906"/>
    <w:rsid w:val="003433DD"/>
    <w:rsid w:val="00371DCB"/>
    <w:rsid w:val="00435334"/>
    <w:rsid w:val="00471196"/>
    <w:rsid w:val="004A4F8F"/>
    <w:rsid w:val="004C3E89"/>
    <w:rsid w:val="005A679C"/>
    <w:rsid w:val="005C2315"/>
    <w:rsid w:val="005E2D3D"/>
    <w:rsid w:val="007438FB"/>
    <w:rsid w:val="0076675A"/>
    <w:rsid w:val="00782F7B"/>
    <w:rsid w:val="00796B25"/>
    <w:rsid w:val="0080115B"/>
    <w:rsid w:val="00A0185D"/>
    <w:rsid w:val="00AF09B0"/>
    <w:rsid w:val="00B256F8"/>
    <w:rsid w:val="00B55651"/>
    <w:rsid w:val="00B8336D"/>
    <w:rsid w:val="00BB5FFA"/>
    <w:rsid w:val="00C0780D"/>
    <w:rsid w:val="00C46AB2"/>
    <w:rsid w:val="00DB2D04"/>
    <w:rsid w:val="00DC178E"/>
    <w:rsid w:val="00E32EB9"/>
    <w:rsid w:val="00F31C15"/>
    <w:rsid w:val="00FC44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70A88F7"/>
  <w15:chartTrackingRefBased/>
  <w15:docId w15:val="{E8074BFE-9FD5-2C44-8BBE-0BA41FDBC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AB2"/>
    <w:pPr>
      <w:spacing w:after="0" w:line="240" w:lineRule="auto"/>
    </w:pPr>
    <w:rPr>
      <w:rFonts w:ascii="Calibri" w:eastAsia="Calibri" w:hAnsi="Calibri" w:cs="Calibri"/>
      <w:kern w:val="0"/>
      <w:sz w:val="22"/>
      <w:szCs w:val="22"/>
      <w:lang w:eastAsia="en-GB"/>
      <w14:ligatures w14:val="none"/>
    </w:rPr>
  </w:style>
  <w:style w:type="paragraph" w:styleId="Heading1">
    <w:name w:val="heading 1"/>
    <w:basedOn w:val="Normal"/>
    <w:next w:val="Normal"/>
    <w:link w:val="Heading1Char"/>
    <w:uiPriority w:val="9"/>
    <w:qFormat/>
    <w:rsid w:val="000910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10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10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0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0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0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0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0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0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0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10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10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0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0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0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0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0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043"/>
    <w:rPr>
      <w:rFonts w:eastAsiaTheme="majorEastAsia" w:cstheme="majorBidi"/>
      <w:color w:val="272727" w:themeColor="text1" w:themeTint="D8"/>
    </w:rPr>
  </w:style>
  <w:style w:type="paragraph" w:styleId="Title">
    <w:name w:val="Title"/>
    <w:basedOn w:val="Normal"/>
    <w:next w:val="Normal"/>
    <w:link w:val="TitleChar"/>
    <w:uiPriority w:val="10"/>
    <w:qFormat/>
    <w:rsid w:val="000910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0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0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0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043"/>
    <w:pPr>
      <w:spacing w:before="160"/>
      <w:jc w:val="center"/>
    </w:pPr>
    <w:rPr>
      <w:i/>
      <w:iCs/>
      <w:color w:val="404040" w:themeColor="text1" w:themeTint="BF"/>
    </w:rPr>
  </w:style>
  <w:style w:type="character" w:customStyle="1" w:styleId="QuoteChar">
    <w:name w:val="Quote Char"/>
    <w:basedOn w:val="DefaultParagraphFont"/>
    <w:link w:val="Quote"/>
    <w:uiPriority w:val="29"/>
    <w:rsid w:val="00091043"/>
    <w:rPr>
      <w:i/>
      <w:iCs/>
      <w:color w:val="404040" w:themeColor="text1" w:themeTint="BF"/>
    </w:rPr>
  </w:style>
  <w:style w:type="paragraph" w:styleId="ListParagraph">
    <w:name w:val="List Paragraph"/>
    <w:basedOn w:val="Normal"/>
    <w:uiPriority w:val="34"/>
    <w:qFormat/>
    <w:rsid w:val="00091043"/>
    <w:pPr>
      <w:ind w:left="720"/>
      <w:contextualSpacing/>
    </w:pPr>
  </w:style>
  <w:style w:type="character" w:styleId="IntenseEmphasis">
    <w:name w:val="Intense Emphasis"/>
    <w:basedOn w:val="DefaultParagraphFont"/>
    <w:uiPriority w:val="21"/>
    <w:qFormat/>
    <w:rsid w:val="00091043"/>
    <w:rPr>
      <w:i/>
      <w:iCs/>
      <w:color w:val="0F4761" w:themeColor="accent1" w:themeShade="BF"/>
    </w:rPr>
  </w:style>
  <w:style w:type="paragraph" w:styleId="IntenseQuote">
    <w:name w:val="Intense Quote"/>
    <w:basedOn w:val="Normal"/>
    <w:next w:val="Normal"/>
    <w:link w:val="IntenseQuoteChar"/>
    <w:uiPriority w:val="30"/>
    <w:qFormat/>
    <w:rsid w:val="000910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043"/>
    <w:rPr>
      <w:i/>
      <w:iCs/>
      <w:color w:val="0F4761" w:themeColor="accent1" w:themeShade="BF"/>
    </w:rPr>
  </w:style>
  <w:style w:type="character" w:styleId="IntenseReference">
    <w:name w:val="Intense Reference"/>
    <w:basedOn w:val="DefaultParagraphFont"/>
    <w:uiPriority w:val="32"/>
    <w:qFormat/>
    <w:rsid w:val="00091043"/>
    <w:rPr>
      <w:b/>
      <w:bCs/>
      <w:smallCaps/>
      <w:color w:val="0F4761" w:themeColor="accent1" w:themeShade="BF"/>
      <w:spacing w:val="5"/>
    </w:rPr>
  </w:style>
  <w:style w:type="table" w:styleId="TableGrid">
    <w:name w:val="Table Grid"/>
    <w:basedOn w:val="TableNormal"/>
    <w:uiPriority w:val="39"/>
    <w:rsid w:val="00782F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82F7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82F7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5C2315"/>
    <w:pPr>
      <w:tabs>
        <w:tab w:val="left" w:pos="260"/>
      </w:tabs>
      <w:spacing w:after="240"/>
      <w:ind w:left="264" w:hanging="264"/>
    </w:pPr>
  </w:style>
  <w:style w:type="character" w:styleId="Hyperlink">
    <w:name w:val="Hyperlink"/>
    <w:basedOn w:val="DefaultParagraphFont"/>
    <w:uiPriority w:val="99"/>
    <w:unhideWhenUsed/>
    <w:rsid w:val="005C2315"/>
    <w:rPr>
      <w:color w:val="467886" w:themeColor="hyperlink"/>
      <w:u w:val="single"/>
    </w:rPr>
  </w:style>
  <w:style w:type="character" w:styleId="UnresolvedMention">
    <w:name w:val="Unresolved Mention"/>
    <w:basedOn w:val="DefaultParagraphFont"/>
    <w:uiPriority w:val="99"/>
    <w:semiHidden/>
    <w:unhideWhenUsed/>
    <w:rsid w:val="005C2315"/>
    <w:rPr>
      <w:color w:val="605E5C"/>
      <w:shd w:val="clear" w:color="auto" w:fill="E1DFDD"/>
    </w:rPr>
  </w:style>
  <w:style w:type="table" w:styleId="PlainTable3">
    <w:name w:val="Plain Table 3"/>
    <w:basedOn w:val="TableNormal"/>
    <w:uiPriority w:val="43"/>
    <w:rsid w:val="00C46AB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46AB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3">
    <w:name w:val="Grid Table 1 Light Accent 3"/>
    <w:basedOn w:val="TableNormal"/>
    <w:uiPriority w:val="46"/>
    <w:rsid w:val="00C46AB2"/>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723</Words>
  <Characters>4126</Characters>
  <Application>Microsoft Office Word</Application>
  <DocSecurity>0</DocSecurity>
  <Lines>34</Lines>
  <Paragraphs>9</Paragraphs>
  <ScaleCrop>false</ScaleCrop>
  <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Prabhleen Kaur</dc:creator>
  <cp:keywords/>
  <dc:description/>
  <cp:lastModifiedBy>Prabhleen Kaur</cp:lastModifiedBy>
  <cp:revision>6</cp:revision>
  <dcterms:created xsi:type="dcterms:W3CDTF">2026-08-05T09:14:00Z</dcterms:created>
  <dcterms:modified xsi:type="dcterms:W3CDTF">2026-08-06T02:39:00Z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id="jcnhUAZl"/&gt;&lt;style id="http://www.zotero.org/styles/nlm-citation-sequence" locale="en-GB" hasBibliography="1" bibliographyStyleHasBeenSet="1"/&gt;&lt;prefs&gt;&lt;pref name="fieldType" value="Field"/&gt;&lt;pref nam</vt:lpwstr>
  </property>
  <property fmtid="{D5CDD505-2E9C-101B-9397-08002B2CF9AE}" pid="3" name="ZOTERO_PREF_2">
    <vt:lpwstr>e="automaticJournalAbbreviations" value="true"/&gt;&lt;/prefs&gt;&lt;/data&gt;</vt:lpwstr>
  </property>
</Properties>
</file>