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98B20" w14:textId="06A814F9" w:rsidR="00091043" w:rsidRDefault="00091043" w:rsidP="00091043">
      <w:pPr>
        <w:pStyle w:val="Heading2"/>
      </w:pPr>
      <w:r>
        <w:t>Supplementary Methods</w:t>
      </w:r>
    </w:p>
    <w:p w14:paraId="21A76C3B" w14:textId="77777777" w:rsidR="00091043" w:rsidRDefault="00091043" w:rsidP="00091043">
      <w:pPr>
        <w:spacing w:after="200"/>
        <w:rPr>
          <w:sz w:val="26"/>
          <w:szCs w:val="26"/>
        </w:rPr>
      </w:pPr>
    </w:p>
    <w:p w14:paraId="54DC213C" w14:textId="51E61393" w:rsidR="00471196" w:rsidRDefault="00091043" w:rsidP="00471196">
      <w:pPr>
        <w:pStyle w:val="Heading3"/>
      </w:pPr>
      <w:r>
        <w:t>S</w:t>
      </w:r>
      <w:r w:rsidR="00410382">
        <w:t>5</w:t>
      </w:r>
      <w:r w:rsidR="00F31C15">
        <w:t xml:space="preserve">: </w:t>
      </w:r>
      <w:r w:rsidR="001107D4">
        <w:t>Regional results: distribution,</w:t>
      </w:r>
      <w:r w:rsidR="00410382" w:rsidRPr="00410382">
        <w:t xml:space="preserve"> mapping and determinants of net benefit</w:t>
      </w:r>
    </w:p>
    <w:p w14:paraId="30B25729" w14:textId="77777777" w:rsidR="00471196" w:rsidRPr="00471196" w:rsidRDefault="00471196" w:rsidP="00471196"/>
    <w:p w14:paraId="3145CA6F" w14:textId="77777777" w:rsidR="00C86D50" w:rsidRPr="00C86D50" w:rsidRDefault="00C86D50" w:rsidP="00C86D50">
      <w:pPr>
        <w:spacing w:after="200"/>
        <w:rPr>
          <w:b/>
          <w:bCs/>
        </w:rPr>
      </w:pPr>
      <w:r w:rsidRPr="00C86D50">
        <w:rPr>
          <w:b/>
          <w:bCs/>
        </w:rPr>
        <w:t>Per-region net benefit distributions</w:t>
      </w:r>
    </w:p>
    <w:p w14:paraId="2BC9BA2A" w14:textId="03F062E6" w:rsidR="00C86D50" w:rsidRPr="00C86D50" w:rsidRDefault="00C86D50" w:rsidP="00410382">
      <w:pPr>
        <w:spacing w:after="200"/>
      </w:pPr>
      <w:r w:rsidRPr="00C86D50">
        <w:t xml:space="preserve">For every region the full probabilistic distribution of net monetary benefit is retained rather than only its summary </w:t>
      </w:r>
      <w:proofErr w:type="gramStart"/>
      <w:r w:rsidRPr="00C86D50">
        <w:t>statistics, and</w:t>
      </w:r>
      <w:proofErr w:type="gramEnd"/>
      <w:r w:rsidRPr="00C86D50">
        <w:t xml:space="preserve"> is displayed as a boxplot. One figure is produced per country. Regions are placed on the vertical axis ordered from lowest to highest net benefit under the realistic scenario, and the three scenarios are drawn side by side within each region so that the effect of the cost assumptions can be read across a single row. The box spans the interquartile range, the central line is the median, and the whiskers extend to 1.5 times the interquartile range, with draws beyond that shown as faint points. A dashed line marks zero, so the proportion of a box lying below it is the probability that escalation is net-harmful in that region under that scenario. Figure height scales with the number of regions in the country so that row spacing is comparable across countries of different size.</w:t>
      </w:r>
    </w:p>
    <w:p w14:paraId="56143D98" w14:textId="327774D4" w:rsidR="00410382" w:rsidRPr="00410382" w:rsidRDefault="00410382" w:rsidP="00410382">
      <w:pPr>
        <w:spacing w:after="200"/>
      </w:pPr>
      <w:r w:rsidRPr="00410382">
        <w:rPr>
          <w:b/>
          <w:bCs/>
        </w:rPr>
        <w:t>Spatial mapping</w:t>
      </w:r>
    </w:p>
    <w:p w14:paraId="5D822491" w14:textId="2E129F73" w:rsidR="00410382" w:rsidRPr="00410382" w:rsidRDefault="00410382" w:rsidP="00410382">
      <w:pPr>
        <w:spacing w:after="200"/>
      </w:pPr>
      <w:r w:rsidRPr="00410382">
        <w:t xml:space="preserve">Regional net monetary benefit was joined to first administrative level boundaries from the ESPEN 2023 shapefile </w:t>
      </w:r>
      <w:r w:rsidRPr="00410382">
        <w:fldChar w:fldCharType="begin"/>
      </w:r>
      <w:r w:rsidRPr="00410382">
        <w:instrText xml:space="preserve"> ADDIN ZOTERO_ITEM CSL_CITATION {"citationID":"Ng5nyD30","properties":{"unsorted":false,"formattedCitation":"(1)","plainCitation":"(1)","noteIndex":0},"citationItems":[{"id":423,"uris":["http://zotero.org/users/18906319/items/VBKXICKS"],"itemData":{"id":423,"type":"webpage","title":"Cartography database | ESPEN","URL":"https://espen.afro.who.int/maps-data/data-query-tools/cartography-database","accessed":{"date-parts":[["2026",8,3]]}}}],"schema":"https://github.com/citation-style-language/schema/raw/master/csl-citation.json"} </w:instrText>
      </w:r>
      <w:r w:rsidRPr="00410382">
        <w:fldChar w:fldCharType="separate"/>
      </w:r>
      <w:r w:rsidRPr="00410382">
        <w:rPr>
          <w:noProof/>
        </w:rPr>
        <w:t>(1)</w:t>
      </w:r>
      <w:r w:rsidRPr="00410382">
        <w:fldChar w:fldCharType="end"/>
      </w:r>
      <w:r w:rsidRPr="00410382">
        <w:t xml:space="preserve">. Implementation-unit polygons were dissolved to admin-1 by country and unit </w:t>
      </w:r>
      <w:proofErr w:type="gramStart"/>
      <w:r w:rsidRPr="00410382">
        <w:t>name, and</w:t>
      </w:r>
      <w:proofErr w:type="gramEnd"/>
      <w:r w:rsidRPr="00410382">
        <w:t xml:space="preserve"> matched to the model output using the normalisation and crosswalk described in S1</w:t>
      </w:r>
      <w:r w:rsidR="00F4742A">
        <w:t xml:space="preserve"> Text</w:t>
      </w:r>
      <w:r w:rsidRPr="00410382">
        <w:t xml:space="preserve">. Administrative units without an active ivermectin programme are shown </w:t>
      </w:r>
      <w:proofErr w:type="gramStart"/>
      <w:r w:rsidRPr="00410382">
        <w:t>unshaded, and</w:t>
      </w:r>
      <w:proofErr w:type="gramEnd"/>
      <w:r w:rsidRPr="00410382">
        <w:t xml:space="preserve"> are distinct from units with a net benefit of zero.</w:t>
      </w:r>
    </w:p>
    <w:p w14:paraId="64C1BACC" w14:textId="77777777" w:rsidR="00410382" w:rsidRPr="00410382" w:rsidRDefault="00410382" w:rsidP="00410382">
      <w:pPr>
        <w:spacing w:after="200"/>
      </w:pPr>
      <w:r w:rsidRPr="00410382">
        <w:t>Nine maps were produced: each of the three scenarios crossed with three summaries of that region's probabilistic distribution. The central map takes the median of the 5,000 draws; the low and high maps take the 2.5th and 97.5th percentiles, so the three panels for a scenario are the lower bound, central estimate and upper bound of the same 95% credible interval reported in the forest plot and the country-level summary tables. Because the percentiles are computed within each region before mapping, a low map is not a single pessimistic run of the whole programme but the simultaneous lower bound of every region considered separately, and the regions shaded negative there are those whose credible interval crosses zero rather than those that happen to co-occur in one unfavourable draw.</w:t>
      </w:r>
    </w:p>
    <w:p w14:paraId="77280211" w14:textId="77777777" w:rsidR="00410382" w:rsidRPr="00410382" w:rsidRDefault="00410382" w:rsidP="00410382">
      <w:pPr>
        <w:spacing w:after="200"/>
      </w:pPr>
      <w:r w:rsidRPr="00410382">
        <w:t xml:space="preserve">All nine maps use one fixed set of bin edges rather than bins derived from each map's own distribution. Quantile or per-map binning would rescale the colour scheme in every panel and make the low, median and high maps look similar despite differing by orders of magnitude, which defeats the purpose of showing them together. The shared edges are round numbers in US$ millions (-1, 0, 5, 10, 15, 20, 30) with the tails caught by minus and plus infinity so no region falls outside the scale. Intervals are </w:t>
      </w:r>
      <w:proofErr w:type="gramStart"/>
      <w:r w:rsidRPr="00410382">
        <w:t>right-closed</w:t>
      </w:r>
      <w:proofErr w:type="gramEnd"/>
      <w:r w:rsidRPr="00410382">
        <w:t>, so a region at exactly $5 million falls in the 0-5 bin. The palette is diverging and hinged at zero, with two pink bins for net-harmful regions and six graded blue bins above zero; the asymmetry reflects that net benefit is bounded below by the cost stack but has a long positive tail. Bins containing no regions on a given map are retained in the legend as empty categories, so the same colour carries the same meaning across all nine panels.</w:t>
      </w:r>
    </w:p>
    <w:p w14:paraId="54E43DD6" w14:textId="77777777" w:rsidR="00410382" w:rsidRPr="00410382" w:rsidRDefault="00410382" w:rsidP="00410382">
      <w:pPr>
        <w:spacing w:after="200"/>
      </w:pPr>
      <w:r w:rsidRPr="00410382">
        <w:t xml:space="preserve">The two covariate maps use the same geometry, country outlines and labels, but sequential rather than diverging palettes, since neither variable has a meaningful zero point to hinge on. Malaria incidence is binned in 50-case steps from 100 to 400 per 1,000 on a yellow-to-brown scale, with single tail bins below and above; the observed range is 58 to 446 per 1,000, so only the two </w:t>
      </w:r>
      <w:r w:rsidRPr="00410382">
        <w:lastRenderedPageBreak/>
        <w:t xml:space="preserve">extremes need catching. Ivermectin coverage is binned on a yellow-to-green scale in 10-point steps to 40 per cent and 20-point steps thereafter, the wider upper bins reflecting the sparser distribution of high-coverage regions. The top bin is labelled greater than 100 because eight regions report treating more people than their population estimate. This arises from denominator mismatch between the ESPEN treatment returns and the population raster rather than from over-treatment; these values are shown at face value rather than truncated, and the coverage-effectiveness function saturates well below this </w:t>
      </w:r>
      <w:proofErr w:type="gramStart"/>
      <w:r w:rsidRPr="00410382">
        <w:t>point</w:t>
      </w:r>
      <w:proofErr w:type="gramEnd"/>
      <w:r w:rsidRPr="00410382">
        <w:t xml:space="preserve"> so the excess does not propagate into the model.</w:t>
      </w:r>
    </w:p>
    <w:p w14:paraId="4D519669" w14:textId="77777777" w:rsidR="00410382" w:rsidRPr="00410382" w:rsidRDefault="00410382" w:rsidP="00410382">
      <w:pPr>
        <w:spacing w:after="200"/>
      </w:pPr>
      <w:r w:rsidRPr="00410382">
        <w:rPr>
          <w:b/>
          <w:bCs/>
        </w:rPr>
        <w:t>Classification of net-beneficial regions</w:t>
      </w:r>
    </w:p>
    <w:p w14:paraId="4E041961" w14:textId="77777777" w:rsidR="00410382" w:rsidRPr="00410382" w:rsidRDefault="00410382" w:rsidP="00410382">
      <w:pPr>
        <w:spacing w:after="200"/>
      </w:pPr>
      <w:r w:rsidRPr="00410382">
        <w:t xml:space="preserve">Regions were labelled net-beneficial where median net monetary benefit exceeded zero, and net-cost otherwise, and classified using four covariates: ivermectin coverage, malaria incidence per 1,000, Loa </w:t>
      </w:r>
      <w:proofErr w:type="spellStart"/>
      <w:r w:rsidRPr="00410382">
        <w:t>loa</w:t>
      </w:r>
      <w:proofErr w:type="spellEnd"/>
      <w:r w:rsidRPr="00410382">
        <w:t xml:space="preserve"> prevalence, and delivery cost per person, the last calculated as:</w:t>
      </w:r>
    </w:p>
    <w:p w14:paraId="20E0500F" w14:textId="77777777" w:rsidR="00F4742A" w:rsidRDefault="00F4742A" w:rsidP="00F4742A">
      <w:pPr>
        <w:spacing w:before="80" w:after="80" w:line="280" w:lineRule="auto"/>
        <w:jc w:val="center"/>
      </w:pPr>
      <w:r>
        <w:rPr>
          <w:i/>
          <w:iCs/>
        </w:rPr>
        <w:t xml:space="preserve">cost per person treated = </w:t>
      </w:r>
      <w:proofErr w:type="spellStart"/>
      <w:r>
        <w:rPr>
          <w:i/>
          <w:iCs/>
        </w:rPr>
        <w:t>Cost_total</w:t>
      </w:r>
      <w:proofErr w:type="spellEnd"/>
      <w:r>
        <w:rPr>
          <w:i/>
          <w:iCs/>
        </w:rPr>
        <w:t xml:space="preserve"> incremental / </w:t>
      </w:r>
      <w:proofErr w:type="spellStart"/>
      <w:r>
        <w:rPr>
          <w:i/>
          <w:iCs/>
        </w:rPr>
        <w:t>N_treated</w:t>
      </w:r>
      <w:proofErr w:type="spellEnd"/>
    </w:p>
    <w:p w14:paraId="00257A87" w14:textId="77777777" w:rsidR="00802FE7" w:rsidRPr="00802FE7" w:rsidRDefault="00802FE7" w:rsidP="00802FE7">
      <w:pPr>
        <w:spacing w:after="200"/>
        <w:rPr>
          <w:b/>
          <w:bCs/>
        </w:rPr>
      </w:pPr>
    </w:p>
    <w:p w14:paraId="38DA3F8C" w14:textId="77777777" w:rsidR="00802FE7" w:rsidRPr="00802FE7" w:rsidRDefault="00802FE7" w:rsidP="00802FE7">
      <w:pPr>
        <w:spacing w:after="200"/>
      </w:pPr>
      <w:r w:rsidRPr="00802FE7">
        <w:t xml:space="preserve">The numerator is the full incremental cost of escalation in that region: additional ivermectin procurement, management of adverse and serious adverse events, and the planning and programme transition costs. The denominator is the number of people </w:t>
      </w:r>
      <w:proofErr w:type="gramStart"/>
      <w:r w:rsidRPr="00802FE7">
        <w:t>actually treated</w:t>
      </w:r>
      <w:proofErr w:type="gramEnd"/>
      <w:r w:rsidRPr="00802FE7">
        <w:t xml:space="preserve"> rather than the resident population. Persons treated is the appropriate denominator here because it is the quantity a programme budgets against, and because dividing by population would confound the cost measure with coverage, which is already a separate covariate. Two regions with identical costs per treatment would otherwise differ on a per-population measure purely because one reaches a larger share of its residents, and the classifier would be given the same information twice.</w:t>
      </w:r>
    </w:p>
    <w:p w14:paraId="27C4A1AC" w14:textId="77777777" w:rsidR="00802FE7" w:rsidRPr="00802FE7" w:rsidRDefault="00802FE7" w:rsidP="00802FE7">
      <w:pPr>
        <w:spacing w:after="200"/>
      </w:pPr>
      <w:r w:rsidRPr="00802FE7">
        <w:t>Three classifiers were fitted: linear discriminant analysis, quadratic discriminant analysis, and a random forest of 500 trees. All were compared under identical five-fold cross-validation repeated five times, reporting area under the receiver operating characteristic curve, sensitivity and specificity. A 60/40 hold-out split was run as a cross-check.</w:t>
      </w:r>
    </w:p>
    <w:p w14:paraId="3D7B141C" w14:textId="77777777" w:rsidR="00802FE7" w:rsidRPr="00802FE7" w:rsidRDefault="00802FE7" w:rsidP="00802FE7">
      <w:pPr>
        <w:spacing w:after="200"/>
      </w:pPr>
      <w:r w:rsidRPr="00802FE7">
        <w:t>These accuracies should be interpreted with care. The outcome is computed from the same covariates within the model, so high discrimination is expected and does not constitute independent validation. The informative result is that a linear classifier performs almost as well as a random forest, indicating that the decision boundary is close to linearly separable and can therefore be summarised as a threshold rule.</w:t>
      </w:r>
    </w:p>
    <w:p w14:paraId="706F95FF" w14:textId="77777777" w:rsidR="00410382" w:rsidRPr="00410382" w:rsidRDefault="00410382" w:rsidP="00410382">
      <w:pPr>
        <w:spacing w:after="200"/>
      </w:pPr>
      <w:r w:rsidRPr="00410382">
        <w:rPr>
          <w:b/>
          <w:bCs/>
        </w:rPr>
        <w:t>Extraction of a decision rule</w:t>
      </w:r>
    </w:p>
    <w:p w14:paraId="48632C69" w14:textId="2AE0F668" w:rsidR="0069732E" w:rsidRPr="0069732E" w:rsidRDefault="0069732E" w:rsidP="0069732E">
      <w:pPr>
        <w:spacing w:after="200"/>
      </w:pPr>
      <w:r w:rsidRPr="0069732E">
        <w:t>A classification tree was fitted to the same four covariates with a maximum depth of three, a minimum terminal node size of six, and a complexity parameter of 0.01. Two splits were retained. The first is on ivermectin coverage</w:t>
      </w:r>
      <w:r>
        <w:t xml:space="preserve"> at 0.22, t</w:t>
      </w:r>
      <w:r w:rsidRPr="0069732E">
        <w:t>he second split applies only within the covered branch and is on cost per person treated at US$1.60</w:t>
      </w:r>
      <w:r>
        <w:t>.</w:t>
      </w:r>
    </w:p>
    <w:p w14:paraId="1FAB89D2" w14:textId="77777777" w:rsidR="0069732E" w:rsidRPr="0069732E" w:rsidRDefault="0069732E" w:rsidP="0069732E">
      <w:pPr>
        <w:spacing w:after="200"/>
      </w:pPr>
      <w:r w:rsidRPr="0069732E">
        <w:t xml:space="preserve">Loa </w:t>
      </w:r>
      <w:proofErr w:type="spellStart"/>
      <w:r w:rsidRPr="0069732E">
        <w:t>loa</w:t>
      </w:r>
      <w:proofErr w:type="spellEnd"/>
      <w:r w:rsidRPr="0069732E">
        <w:t xml:space="preserve"> prevalence and malaria incidence were not selected at any depth, despite both being available to the tree and despite incidence being the strongest single correlate of the size of the benefit. The rule is therefore hierarchical rather than additive: coverage determines whether escalation can be worthwhile at all, and delivery cost separates the remainder only at its extreme. The second split should not be over-interpreted. It isolates six regions, the minimum terminal node size permitted, four of which are in Guinea-Bissau, where </w:t>
      </w:r>
      <w:proofErr w:type="gramStart"/>
      <w:r w:rsidRPr="0069732E">
        <w:t>small treated</w:t>
      </w:r>
      <w:proofErr w:type="gramEnd"/>
      <w:r w:rsidRPr="0069732E">
        <w:t xml:space="preserve"> populations divide a largely fixed planning and programme cost and where malaria incidence is among the lowest in the dataset (78 to 121 per 1,000). The split is better read as identifying a small-denominator artefact than as a generalisable cost threshold.</w:t>
      </w:r>
    </w:p>
    <w:p w14:paraId="12D2F051" w14:textId="77777777" w:rsidR="0069732E" w:rsidRPr="0069732E" w:rsidRDefault="0069732E" w:rsidP="0069732E">
      <w:pPr>
        <w:spacing w:after="200"/>
      </w:pPr>
      <w:r w:rsidRPr="0069732E">
        <w:lastRenderedPageBreak/>
        <w:t>Because the tree partitions on cost only at this extreme and says nothing about gradation among the great majority of covered regions, the band above the coverage threshold was additionally characterised descriptively, comparing cost per person treated and malaria incidence between net-beneficial and net-cost regions within it, and by matched pairs of regions with near-identical coverage and incidence but opposite outcomes.</w:t>
      </w:r>
    </w:p>
    <w:p w14:paraId="6A37C6F9" w14:textId="77777777" w:rsidR="00410382" w:rsidRPr="00410382" w:rsidRDefault="00410382" w:rsidP="00410382">
      <w:pPr>
        <w:spacing w:after="200"/>
      </w:pPr>
      <w:r w:rsidRPr="00410382">
        <w:rPr>
          <w:b/>
          <w:bCs/>
        </w:rPr>
        <w:t>Ternary visualisation</w:t>
      </w:r>
    </w:p>
    <w:p w14:paraId="78D9378A" w14:textId="77777777" w:rsidR="00410382" w:rsidRPr="00410382" w:rsidRDefault="00410382" w:rsidP="00410382">
      <w:pPr>
        <w:spacing w:after="200"/>
      </w:pPr>
      <w:r w:rsidRPr="00410382">
        <w:t xml:space="preserve">To display all three epidemiological covariates simultaneously, each was rescaled to the unit interval across </w:t>
      </w:r>
      <w:proofErr w:type="gramStart"/>
      <w:r w:rsidRPr="00410382">
        <w:t>regions</w:t>
      </w:r>
      <w:proofErr w:type="gramEnd"/>
      <w:r w:rsidRPr="00410382">
        <w:t xml:space="preserve"> and the three values normalised to sum to one:</w:t>
      </w:r>
    </w:p>
    <w:p w14:paraId="4034975A" w14:textId="77777777" w:rsidR="00410382" w:rsidRPr="00410382" w:rsidRDefault="00410382" w:rsidP="00410382">
      <w:pPr>
        <w:spacing w:after="200"/>
      </w:pPr>
      <w:proofErr w:type="spellStart"/>
      <w:r w:rsidRPr="00410382">
        <w:rPr>
          <w:i/>
          <w:iCs/>
        </w:rPr>
        <w:t>x_i</w:t>
      </w:r>
      <w:proofErr w:type="spellEnd"/>
      <w:r w:rsidRPr="00410382">
        <w:rPr>
          <w:i/>
          <w:iCs/>
        </w:rPr>
        <w:t xml:space="preserve"> = </w:t>
      </w:r>
      <w:proofErr w:type="gramStart"/>
      <w:r w:rsidRPr="00410382">
        <w:rPr>
          <w:i/>
          <w:iCs/>
        </w:rPr>
        <w:t xml:space="preserve">( </w:t>
      </w:r>
      <w:proofErr w:type="spellStart"/>
      <w:r w:rsidRPr="00410382">
        <w:rPr>
          <w:i/>
          <w:iCs/>
        </w:rPr>
        <w:t>X</w:t>
      </w:r>
      <w:proofErr w:type="gramEnd"/>
      <w:r w:rsidRPr="00410382">
        <w:rPr>
          <w:i/>
          <w:iCs/>
        </w:rPr>
        <w:t>_i</w:t>
      </w:r>
      <w:proofErr w:type="spellEnd"/>
      <w:r w:rsidRPr="00410382">
        <w:rPr>
          <w:i/>
          <w:iCs/>
        </w:rPr>
        <w:t xml:space="preserve"> - min </w:t>
      </w:r>
      <w:proofErr w:type="gramStart"/>
      <w:r w:rsidRPr="00410382">
        <w:rPr>
          <w:i/>
          <w:iCs/>
        </w:rPr>
        <w:t>X )</w:t>
      </w:r>
      <w:proofErr w:type="gramEnd"/>
      <w:r w:rsidRPr="00410382">
        <w:rPr>
          <w:i/>
          <w:iCs/>
        </w:rPr>
        <w:t xml:space="preserve"> / </w:t>
      </w:r>
      <w:proofErr w:type="gramStart"/>
      <w:r w:rsidRPr="00410382">
        <w:rPr>
          <w:i/>
          <w:iCs/>
        </w:rPr>
        <w:t>( max</w:t>
      </w:r>
      <w:proofErr w:type="gramEnd"/>
      <w:r w:rsidRPr="00410382">
        <w:rPr>
          <w:i/>
          <w:iCs/>
        </w:rPr>
        <w:t xml:space="preserve"> X - min </w:t>
      </w:r>
      <w:proofErr w:type="gramStart"/>
      <w:r w:rsidRPr="00410382">
        <w:rPr>
          <w:i/>
          <w:iCs/>
        </w:rPr>
        <w:t>X )</w:t>
      </w:r>
      <w:proofErr w:type="gramEnd"/>
      <w:r w:rsidRPr="00410382">
        <w:rPr>
          <w:i/>
          <w:iCs/>
        </w:rPr>
        <w:t xml:space="preserve">;   </w:t>
      </w:r>
      <w:proofErr w:type="spellStart"/>
      <w:r w:rsidRPr="00410382">
        <w:rPr>
          <w:i/>
          <w:iCs/>
        </w:rPr>
        <w:t>share_i</w:t>
      </w:r>
      <w:proofErr w:type="spellEnd"/>
      <w:r w:rsidRPr="00410382">
        <w:rPr>
          <w:i/>
          <w:iCs/>
        </w:rPr>
        <w:t xml:space="preserve"> = </w:t>
      </w:r>
      <w:proofErr w:type="spellStart"/>
      <w:r w:rsidRPr="00410382">
        <w:rPr>
          <w:i/>
          <w:iCs/>
        </w:rPr>
        <w:t>x_i</w:t>
      </w:r>
      <w:proofErr w:type="spellEnd"/>
      <w:r w:rsidRPr="00410382">
        <w:rPr>
          <w:i/>
          <w:iCs/>
        </w:rPr>
        <w:t xml:space="preserve"> / </w:t>
      </w:r>
      <w:proofErr w:type="gramStart"/>
      <w:r w:rsidRPr="00410382">
        <w:rPr>
          <w:i/>
          <w:iCs/>
        </w:rPr>
        <w:t>( x</w:t>
      </w:r>
      <w:proofErr w:type="gramEnd"/>
      <w:r w:rsidRPr="00410382">
        <w:rPr>
          <w:i/>
          <w:iCs/>
        </w:rPr>
        <w:t>_1 + x_2 + x_</w:t>
      </w:r>
      <w:proofErr w:type="gramStart"/>
      <w:r w:rsidRPr="00410382">
        <w:rPr>
          <w:i/>
          <w:iCs/>
        </w:rPr>
        <w:t>3 )</w:t>
      </w:r>
      <w:proofErr w:type="gramEnd"/>
    </w:p>
    <w:p w14:paraId="3C9F3907" w14:textId="6256D500" w:rsidR="00410382" w:rsidRPr="00410382" w:rsidRDefault="00410382" w:rsidP="00410382">
      <w:pPr>
        <w:spacing w:after="200"/>
      </w:pPr>
      <w:r w:rsidRPr="00410382">
        <w:t xml:space="preserve">Rescaling is necessary because the covariates are on incompatible scales; without it, malaria incidence would dominate the triangle. The consequence is that position within the triangle reflects the relative balance of the three rescaled covariates and not their absolute values. A region may therefore appear low on the coverage axis while having high absolute coverage, if another covariate is extreme. Absolute values for every region are given in Table </w:t>
      </w:r>
      <w:r w:rsidRPr="002C6330">
        <w:rPr>
          <w:color w:val="000000" w:themeColor="text1"/>
        </w:rPr>
        <w:t>S</w:t>
      </w:r>
      <w:r w:rsidR="002C6330" w:rsidRPr="002C6330">
        <w:rPr>
          <w:color w:val="000000" w:themeColor="text1"/>
        </w:rPr>
        <w:t>16</w:t>
      </w:r>
      <w:r w:rsidRPr="002C6330">
        <w:rPr>
          <w:color w:val="000000" w:themeColor="text1"/>
        </w:rPr>
        <w:t>.</w:t>
      </w:r>
    </w:p>
    <w:p w14:paraId="435B9982" w14:textId="77777777" w:rsidR="00410382" w:rsidRPr="00410382" w:rsidRDefault="00410382" w:rsidP="00410382">
      <w:pPr>
        <w:spacing w:after="200"/>
      </w:pPr>
      <w:r w:rsidRPr="00410382">
        <w:rPr>
          <w:b/>
          <w:bCs/>
        </w:rPr>
        <w:t>Break-even delivery cost</w:t>
      </w:r>
    </w:p>
    <w:p w14:paraId="7AB0D9ED" w14:textId="77777777" w:rsidR="0069732E" w:rsidRDefault="0069732E" w:rsidP="0069732E">
      <w:pPr>
        <w:spacing w:after="140" w:line="280" w:lineRule="auto"/>
        <w:jc w:val="both"/>
      </w:pPr>
      <w:r>
        <w:t>Because planning and programme transition costs enter the cost function additively and do not appear in the net DALY calculation, each additional dollar of delivery spend per person treated reduces net monetary benefit by exactly one dollar per person treated. The maximum affordable delivery cost is therefore the net monetary benefit per person treated, evaluated with planning and programme costs set to zero:</w:t>
      </w:r>
    </w:p>
    <w:p w14:paraId="6DB68F8D" w14:textId="5EAEBFB5" w:rsidR="00410382" w:rsidRPr="00410382" w:rsidRDefault="00410382" w:rsidP="00876C39">
      <w:pPr>
        <w:spacing w:after="200"/>
        <w:jc w:val="center"/>
      </w:pPr>
      <w:r w:rsidRPr="00410382">
        <w:rPr>
          <w:i/>
          <w:iCs/>
        </w:rPr>
        <w:t>maximum affordable</w:t>
      </w:r>
      <w:r w:rsidR="0069732E">
        <w:rPr>
          <w:i/>
          <w:iCs/>
        </w:rPr>
        <w:t xml:space="preserve"> delivery</w:t>
      </w:r>
      <w:r w:rsidRPr="00410382">
        <w:rPr>
          <w:i/>
          <w:iCs/>
        </w:rPr>
        <w:t xml:space="preserve"> cost per person</w:t>
      </w:r>
      <w:r w:rsidR="0069732E">
        <w:rPr>
          <w:i/>
          <w:iCs/>
        </w:rPr>
        <w:t xml:space="preserve"> treated</w:t>
      </w:r>
      <w:r w:rsidRPr="00410382">
        <w:rPr>
          <w:i/>
          <w:iCs/>
        </w:rPr>
        <w:t xml:space="preserve"> = NMB (with </w:t>
      </w:r>
      <w:proofErr w:type="spellStart"/>
      <w:r w:rsidRPr="00410382">
        <w:rPr>
          <w:i/>
          <w:iCs/>
        </w:rPr>
        <w:t>Cost_planning</w:t>
      </w:r>
      <w:proofErr w:type="spellEnd"/>
      <w:r w:rsidRPr="00410382">
        <w:rPr>
          <w:i/>
          <w:iCs/>
        </w:rPr>
        <w:t xml:space="preserve"> = </w:t>
      </w:r>
      <w:proofErr w:type="spellStart"/>
      <w:r w:rsidRPr="00410382">
        <w:rPr>
          <w:i/>
          <w:iCs/>
        </w:rPr>
        <w:t>Cost_programme</w:t>
      </w:r>
      <w:proofErr w:type="spellEnd"/>
      <w:r w:rsidRPr="00410382">
        <w:rPr>
          <w:i/>
          <w:iCs/>
        </w:rPr>
        <w:t xml:space="preserve"> = 0) / </w:t>
      </w:r>
      <w:proofErr w:type="spellStart"/>
      <w:r w:rsidRPr="00410382">
        <w:rPr>
          <w:i/>
          <w:iCs/>
        </w:rPr>
        <w:t>N_</w:t>
      </w:r>
      <w:r w:rsidR="0069732E">
        <w:rPr>
          <w:i/>
          <w:iCs/>
        </w:rPr>
        <w:t>treated</w:t>
      </w:r>
      <w:proofErr w:type="spellEnd"/>
    </w:p>
    <w:p w14:paraId="0FADFF73" w14:textId="77777777" w:rsidR="00410382" w:rsidRPr="00410382" w:rsidRDefault="00410382" w:rsidP="00410382">
      <w:pPr>
        <w:spacing w:after="200"/>
      </w:pPr>
      <w:r w:rsidRPr="00410382">
        <w:t xml:space="preserve">This was evaluated across a grid of coverage and incidence values for a reference region holding all other inputs at their median across the 202 regions, giving a break-even cost for any combination of the two. It is an exact property of the model rather than a fitted relationship. It assumes cost and effectiveness are separable; </w:t>
      </w:r>
      <w:proofErr w:type="gramStart"/>
      <w:r w:rsidRPr="00410382">
        <w:t>in reality higher</w:t>
      </w:r>
      <w:proofErr w:type="gramEnd"/>
      <w:r w:rsidRPr="00410382">
        <w:t xml:space="preserve"> spending might purchase greater coverage, in which case the two would not be independent.</w:t>
      </w:r>
    </w:p>
    <w:p w14:paraId="72E1A8C3" w14:textId="77777777" w:rsidR="00410382" w:rsidRPr="00410382" w:rsidRDefault="00410382" w:rsidP="00FC4428">
      <w:pPr>
        <w:spacing w:after="200"/>
      </w:pPr>
    </w:p>
    <w:p w14:paraId="2BFCAFD0" w14:textId="3E806545" w:rsidR="00796B25" w:rsidRDefault="00796B25" w:rsidP="00DB2D04">
      <w:pPr>
        <w:pStyle w:val="Bibliography"/>
        <w:ind w:left="0" w:firstLine="0"/>
        <w:rPr>
          <w:iCs/>
        </w:rPr>
      </w:pPr>
    </w:p>
    <w:p w14:paraId="3C8F24D3" w14:textId="77777777" w:rsidR="005814EB" w:rsidRDefault="005814EB" w:rsidP="005814EB"/>
    <w:p w14:paraId="299B949F" w14:textId="77777777" w:rsidR="005814EB" w:rsidRDefault="005814EB" w:rsidP="005814EB"/>
    <w:p w14:paraId="5873E1F3" w14:textId="77777777" w:rsidR="005814EB" w:rsidRDefault="005814EB" w:rsidP="005814EB"/>
    <w:p w14:paraId="2CE81966" w14:textId="77777777" w:rsidR="005814EB" w:rsidRDefault="005814EB" w:rsidP="005814EB"/>
    <w:p w14:paraId="60B790D1" w14:textId="77777777" w:rsidR="005814EB" w:rsidRDefault="005814EB" w:rsidP="005814EB"/>
    <w:p w14:paraId="6FD3CB2E" w14:textId="77777777" w:rsidR="005814EB" w:rsidRDefault="005814EB" w:rsidP="005814EB"/>
    <w:p w14:paraId="0345E6F3" w14:textId="77777777" w:rsidR="005814EB" w:rsidRDefault="005814EB" w:rsidP="005814EB"/>
    <w:p w14:paraId="0DB9B462" w14:textId="77777777" w:rsidR="005814EB" w:rsidRDefault="005814EB" w:rsidP="005814EB"/>
    <w:p w14:paraId="34E233D9" w14:textId="77777777" w:rsidR="005814EB" w:rsidRDefault="005814EB" w:rsidP="005814EB"/>
    <w:p w14:paraId="470ADDD9" w14:textId="77777777" w:rsidR="005814EB" w:rsidRDefault="005814EB" w:rsidP="005814EB"/>
    <w:p w14:paraId="6748F784" w14:textId="77777777" w:rsidR="005814EB" w:rsidRDefault="005814EB" w:rsidP="005814EB"/>
    <w:p w14:paraId="0F681436" w14:textId="77777777" w:rsidR="005814EB" w:rsidRDefault="005814EB" w:rsidP="005814EB"/>
    <w:p w14:paraId="655E04D1" w14:textId="77777777" w:rsidR="005814EB" w:rsidRDefault="005814EB" w:rsidP="005814EB"/>
    <w:p w14:paraId="3DB1B5B9" w14:textId="77777777" w:rsidR="005814EB" w:rsidRDefault="005814EB" w:rsidP="005814EB"/>
    <w:p w14:paraId="1E9B338C" w14:textId="7D398763" w:rsidR="005814EB" w:rsidRDefault="005814EB" w:rsidP="005814EB">
      <w:pPr>
        <w:pStyle w:val="Heading2"/>
      </w:pPr>
      <w:r>
        <w:lastRenderedPageBreak/>
        <w:t>References</w:t>
      </w:r>
    </w:p>
    <w:p w14:paraId="1665E76D" w14:textId="77777777" w:rsidR="005814EB" w:rsidRPr="005814EB" w:rsidRDefault="005814EB" w:rsidP="005814EB"/>
    <w:p w14:paraId="09505E71" w14:textId="1137A3FF" w:rsidR="005814EB" w:rsidRPr="005814EB" w:rsidRDefault="005814EB" w:rsidP="005814EB">
      <w:pPr>
        <w:pStyle w:val="Bibliography"/>
        <w:rPr>
          <w:lang w:eastAsia="en-US"/>
        </w:rPr>
      </w:pPr>
      <w:r>
        <w:fldChar w:fldCharType="begin"/>
      </w:r>
      <w:r>
        <w:instrText xml:space="preserve"> ADDIN ZOTERO_BIBL {"uncited":[],"omitted":[],"custom":[]} CSL_BIBLIOGRAPHY </w:instrText>
      </w:r>
      <w:r>
        <w:fldChar w:fldCharType="separate"/>
      </w:r>
      <w:r w:rsidRPr="005814EB">
        <w:rPr>
          <w:lang w:eastAsia="en-US"/>
        </w:rPr>
        <w:t>1.</w:t>
      </w:r>
      <w:r w:rsidRPr="005814EB">
        <w:rPr>
          <w:lang w:eastAsia="en-US"/>
        </w:rPr>
        <w:tab/>
        <w:t>Cartography database | ESPEN [Internet]. [cited 2026 Aug 3]. Available from: https://espen.afro.who.int/maps-data/data-query-tools/cartography-database</w:t>
      </w:r>
    </w:p>
    <w:p w14:paraId="0524F7A0" w14:textId="6B43D663" w:rsidR="005814EB" w:rsidRPr="005814EB" w:rsidRDefault="005814EB" w:rsidP="005814EB">
      <w:r>
        <w:fldChar w:fldCharType="end"/>
      </w:r>
    </w:p>
    <w:sectPr w:rsidR="005814EB" w:rsidRPr="00581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43"/>
    <w:rsid w:val="00044B99"/>
    <w:rsid w:val="00071732"/>
    <w:rsid w:val="00091043"/>
    <w:rsid w:val="001107D4"/>
    <w:rsid w:val="001B7FDF"/>
    <w:rsid w:val="00291CEC"/>
    <w:rsid w:val="002A305E"/>
    <w:rsid w:val="002C6330"/>
    <w:rsid w:val="00307906"/>
    <w:rsid w:val="003433DD"/>
    <w:rsid w:val="00371DCB"/>
    <w:rsid w:val="00410382"/>
    <w:rsid w:val="00435334"/>
    <w:rsid w:val="00471196"/>
    <w:rsid w:val="005814EB"/>
    <w:rsid w:val="005A679C"/>
    <w:rsid w:val="005C2315"/>
    <w:rsid w:val="005E2D3D"/>
    <w:rsid w:val="0069732E"/>
    <w:rsid w:val="007438FB"/>
    <w:rsid w:val="0076675A"/>
    <w:rsid w:val="00782F7B"/>
    <w:rsid w:val="00796B25"/>
    <w:rsid w:val="0080115B"/>
    <w:rsid w:val="00802FE7"/>
    <w:rsid w:val="00876C39"/>
    <w:rsid w:val="00A0185D"/>
    <w:rsid w:val="00AF09B0"/>
    <w:rsid w:val="00B256F8"/>
    <w:rsid w:val="00B55651"/>
    <w:rsid w:val="00B8336D"/>
    <w:rsid w:val="00BB5FFA"/>
    <w:rsid w:val="00C0780D"/>
    <w:rsid w:val="00C46AB2"/>
    <w:rsid w:val="00C86D50"/>
    <w:rsid w:val="00DB2D04"/>
    <w:rsid w:val="00DC178E"/>
    <w:rsid w:val="00E32EB9"/>
    <w:rsid w:val="00F31C15"/>
    <w:rsid w:val="00F4742A"/>
    <w:rsid w:val="00FC4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A88F7"/>
  <w15:chartTrackingRefBased/>
  <w15:docId w15:val="{E8074BFE-9FD5-2C44-8BBE-0BA41FDB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AB2"/>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09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43"/>
    <w:rPr>
      <w:rFonts w:eastAsiaTheme="majorEastAsia" w:cstheme="majorBidi"/>
      <w:color w:val="272727" w:themeColor="text1" w:themeTint="D8"/>
    </w:rPr>
  </w:style>
  <w:style w:type="paragraph" w:styleId="Title">
    <w:name w:val="Title"/>
    <w:basedOn w:val="Normal"/>
    <w:next w:val="Normal"/>
    <w:link w:val="TitleChar"/>
    <w:uiPriority w:val="10"/>
    <w:qFormat/>
    <w:rsid w:val="000910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43"/>
    <w:rPr>
      <w:i/>
      <w:iCs/>
      <w:color w:val="404040" w:themeColor="text1" w:themeTint="BF"/>
    </w:rPr>
  </w:style>
  <w:style w:type="paragraph" w:styleId="ListParagraph">
    <w:name w:val="List Paragraph"/>
    <w:basedOn w:val="Normal"/>
    <w:uiPriority w:val="34"/>
    <w:qFormat/>
    <w:rsid w:val="00091043"/>
    <w:pPr>
      <w:ind w:left="720"/>
      <w:contextualSpacing/>
    </w:pPr>
  </w:style>
  <w:style w:type="character" w:styleId="IntenseEmphasis">
    <w:name w:val="Intense Emphasis"/>
    <w:basedOn w:val="DefaultParagraphFont"/>
    <w:uiPriority w:val="21"/>
    <w:qFormat/>
    <w:rsid w:val="00091043"/>
    <w:rPr>
      <w:i/>
      <w:iCs/>
      <w:color w:val="0F4761" w:themeColor="accent1" w:themeShade="BF"/>
    </w:rPr>
  </w:style>
  <w:style w:type="paragraph" w:styleId="IntenseQuote">
    <w:name w:val="Intense Quote"/>
    <w:basedOn w:val="Normal"/>
    <w:next w:val="Normal"/>
    <w:link w:val="IntenseQuoteChar"/>
    <w:uiPriority w:val="30"/>
    <w:qFormat/>
    <w:rsid w:val="0009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43"/>
    <w:rPr>
      <w:i/>
      <w:iCs/>
      <w:color w:val="0F4761" w:themeColor="accent1" w:themeShade="BF"/>
    </w:rPr>
  </w:style>
  <w:style w:type="character" w:styleId="IntenseReference">
    <w:name w:val="Intense Reference"/>
    <w:basedOn w:val="DefaultParagraphFont"/>
    <w:uiPriority w:val="32"/>
    <w:qFormat/>
    <w:rsid w:val="00091043"/>
    <w:rPr>
      <w:b/>
      <w:bCs/>
      <w:smallCaps/>
      <w:color w:val="0F4761" w:themeColor="accent1" w:themeShade="BF"/>
      <w:spacing w:val="5"/>
    </w:rPr>
  </w:style>
  <w:style w:type="table" w:styleId="TableGrid">
    <w:name w:val="Table Grid"/>
    <w:basedOn w:val="TableNormal"/>
    <w:uiPriority w:val="39"/>
    <w:rsid w:val="0078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2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2F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5C2315"/>
    <w:pPr>
      <w:tabs>
        <w:tab w:val="left" w:pos="260"/>
      </w:tabs>
      <w:spacing w:after="240"/>
      <w:ind w:left="264" w:hanging="264"/>
    </w:pPr>
  </w:style>
  <w:style w:type="character" w:styleId="Hyperlink">
    <w:name w:val="Hyperlink"/>
    <w:basedOn w:val="DefaultParagraphFont"/>
    <w:uiPriority w:val="99"/>
    <w:unhideWhenUsed/>
    <w:rsid w:val="005C2315"/>
    <w:rPr>
      <w:color w:val="467886" w:themeColor="hyperlink"/>
      <w:u w:val="single"/>
    </w:rPr>
  </w:style>
  <w:style w:type="character" w:styleId="UnresolvedMention">
    <w:name w:val="Unresolved Mention"/>
    <w:basedOn w:val="DefaultParagraphFont"/>
    <w:uiPriority w:val="99"/>
    <w:semiHidden/>
    <w:unhideWhenUsed/>
    <w:rsid w:val="005C2315"/>
    <w:rPr>
      <w:color w:val="605E5C"/>
      <w:shd w:val="clear" w:color="auto" w:fill="E1DFDD"/>
    </w:rPr>
  </w:style>
  <w:style w:type="table" w:styleId="PlainTable3">
    <w:name w:val="Plain Table 3"/>
    <w:basedOn w:val="TableNormal"/>
    <w:uiPriority w:val="43"/>
    <w:rsid w:val="00C46A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6A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C46AB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1541</Words>
  <Characters>8784</Characters>
  <Application>Microsoft Office Word</Application>
  <DocSecurity>0</DocSecurity>
  <Lines>73</Lines>
  <Paragraphs>20</Paragraphs>
  <ScaleCrop>false</ScaleCrop>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11</cp:revision>
  <dcterms:created xsi:type="dcterms:W3CDTF">2026-08-05T09:59:00Z</dcterms:created>
  <dcterms:modified xsi:type="dcterms:W3CDTF">2026-08-06T02:41:00Z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id="jcnhUAZl"/&gt;&lt;style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