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INDICATIVE TERM SHEET FOR INVESTMENT IN</w:t>
        <w:br/>
        <w:t>NON-CONVERTIBLE DEBENTURES TO BE ISSUED BY</w:t>
        <w:br/>
        <w:t>[ISSUER_NAME]</w:t>
      </w:r>
    </w:p>
    <w:p/>
    <w:p>
      <w:pPr>
        <w:spacing w:before="120" w:after="120"/>
      </w:pPr>
      <w:r>
        <w:rPr>
          <w:rFonts w:ascii="Arial" w:hAnsi="Arial"/>
          <w:i/>
          <w:sz w:val="18"/>
        </w:rPr>
        <w:t>The purpose of this document ("Indicative Term Sheet") is to outline the terms and conditions of a potential Debenture issuance by the Issuer proposed to be subscribed to by the Investor. This Indicative Term Sheet does not constitute a final offer, is not exhaustive and is subject to change.</w:t>
      </w:r>
    </w:p>
    <w:p/>
    <w:p>
      <w:pPr>
        <w:pStyle w:val="Heading1"/>
      </w:pPr>
      <w:r>
        <w:t>SECTION 1: DESCRIPTION &amp; PARTICULARS</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pPr>
              <w:spacing w:after="0"/>
            </w:pPr>
            <w:r>
              <w:rPr>
                <w:rFonts w:ascii="Arial" w:hAnsi="Arial"/>
                <w:b/>
                <w:sz w:val="18"/>
              </w:rPr>
              <w:t>Issuer/Company</w:t>
            </w:r>
          </w:p>
        </w:tc>
        <w:tc>
          <w:tcPr>
            <w:tcW w:type="dxa" w:w="5040"/>
          </w:tcPr>
          <w:p>
            <w:pPr>
              <w:spacing w:after="0"/>
            </w:pPr>
            <w:r>
              <w:rPr>
                <w:rFonts w:ascii="Arial" w:hAnsi="Arial"/>
                <w:sz w:val="18"/>
              </w:rPr>
              <w:t>[ISSUER_NAME] (Formerly known as [FORMER_NAME])</w:t>
            </w:r>
          </w:p>
        </w:tc>
      </w:tr>
      <w:tr>
        <w:tc>
          <w:tcPr>
            <w:tcW w:type="dxa" w:w="5040"/>
          </w:tcPr>
          <w:p>
            <w:pPr>
              <w:spacing w:after="0"/>
            </w:pPr>
            <w:r>
              <w:rPr>
                <w:rFonts w:ascii="Arial" w:hAnsi="Arial"/>
                <w:b/>
                <w:sz w:val="18"/>
              </w:rPr>
              <w:t>Type</w:t>
            </w:r>
          </w:p>
        </w:tc>
        <w:tc>
          <w:tcPr>
            <w:tcW w:type="dxa" w:w="5040"/>
            <w:shd w:fill="D9D9D9"/>
          </w:tcPr>
          <w:p>
            <w:pPr>
              <w:spacing w:after="0"/>
            </w:pPr>
            <w:r>
              <w:rPr>
                <w:rFonts w:ascii="Arial" w:hAnsi="Arial"/>
                <w:sz w:val="18"/>
              </w:rPr>
              <w:t>[SELECT: Unsecured / Secured / Partly Convertible / Senior / Subordinated / Taxable / Non-convertible Debentures]</w:t>
            </w:r>
          </w:p>
        </w:tc>
      </w:tr>
      <w:tr>
        <w:tc>
          <w:tcPr>
            <w:tcW w:type="dxa" w:w="5040"/>
          </w:tcPr>
          <w:p>
            <w:pPr>
              <w:spacing w:after="0"/>
            </w:pPr>
            <w:r>
              <w:rPr>
                <w:rFonts w:ascii="Arial" w:hAnsi="Arial"/>
                <w:b/>
                <w:sz w:val="18"/>
              </w:rPr>
              <w:t>Instrument</w:t>
            </w:r>
          </w:p>
        </w:tc>
        <w:tc>
          <w:tcPr>
            <w:tcW w:type="dxa" w:w="5040"/>
          </w:tcPr>
          <w:p>
            <w:pPr>
              <w:spacing w:after="0"/>
            </w:pPr>
            <w:r>
              <w:rPr>
                <w:rFonts w:ascii="Arial" w:hAnsi="Arial"/>
                <w:sz w:val="18"/>
              </w:rPr>
              <w:t>AUM Trustee Services Limited</w:t>
            </w:r>
          </w:p>
        </w:tc>
      </w:tr>
      <w:tr>
        <w:tc>
          <w:tcPr>
            <w:tcW w:type="dxa" w:w="5040"/>
          </w:tcPr>
          <w:p>
            <w:pPr>
              <w:spacing w:after="0"/>
            </w:pPr>
            <w:r>
              <w:rPr>
                <w:rFonts w:ascii="Arial" w:hAnsi="Arial"/>
                <w:b/>
                <w:sz w:val="18"/>
              </w:rPr>
              <w:t>Trustee</w:t>
            </w:r>
          </w:p>
        </w:tc>
        <w:tc>
          <w:tcPr>
            <w:tcW w:type="dxa" w:w="5040"/>
          </w:tcPr>
          <w:p>
            <w:pPr>
              <w:spacing w:after="0"/>
            </w:pPr>
            <w:r>
              <w:rPr>
                <w:rFonts w:ascii="Arial" w:hAnsi="Arial"/>
                <w:sz w:val="18"/>
              </w:rPr>
              <w:t>[TRUSTEE_NAME] or [TBD]</w:t>
            </w:r>
          </w:p>
        </w:tc>
      </w:tr>
      <w:tr>
        <w:tc>
          <w:tcPr>
            <w:tcW w:type="dxa" w:w="5040"/>
          </w:tcPr>
          <w:p>
            <w:pPr>
              <w:spacing w:after="0"/>
            </w:pPr>
            <w:r>
              <w:rPr>
                <w:rFonts w:ascii="Arial" w:hAnsi="Arial"/>
                <w:b/>
                <w:sz w:val="18"/>
              </w:rPr>
              <w:t>Rating Agency</w:t>
            </w:r>
          </w:p>
        </w:tc>
        <w:tc>
          <w:tcPr>
            <w:tcW w:type="dxa" w:w="5040"/>
          </w:tcPr>
          <w:p>
            <w:pPr>
              <w:spacing w:after="0"/>
            </w:pPr>
            <w:r>
              <w:rPr>
                <w:rFonts w:ascii="Arial" w:hAnsi="Arial"/>
                <w:sz w:val="18"/>
              </w:rPr>
              <w:t>IND Rating / ICRA / CARE</w:t>
            </w:r>
          </w:p>
        </w:tc>
      </w:tr>
      <w:tr>
        <w:tc>
          <w:tcPr>
            <w:tcW w:type="dxa" w:w="5040"/>
          </w:tcPr>
          <w:p>
            <w:pPr>
              <w:spacing w:after="0"/>
            </w:pPr>
            <w:r>
              <w:rPr>
                <w:rFonts w:ascii="Arial" w:hAnsi="Arial"/>
                <w:b/>
                <w:sz w:val="18"/>
              </w:rPr>
              <w:t>Rating</w:t>
            </w:r>
          </w:p>
        </w:tc>
        <w:tc>
          <w:tcPr>
            <w:tcW w:type="dxa" w:w="5040"/>
          </w:tcPr>
          <w:p>
            <w:pPr>
              <w:spacing w:after="0"/>
            </w:pPr>
            <w:r>
              <w:rPr>
                <w:rFonts w:ascii="Arial" w:hAnsi="Arial"/>
                <w:sz w:val="18"/>
              </w:rPr>
              <w:t>IND BBB+ (Stable) / [RATING]</w:t>
            </w:r>
          </w:p>
        </w:tc>
      </w:tr>
      <w:tr>
        <w:tc>
          <w:tcPr>
            <w:tcW w:type="dxa" w:w="5040"/>
          </w:tcPr>
          <w:p>
            <w:pPr>
              <w:spacing w:after="0"/>
            </w:pPr>
            <w:r>
              <w:rPr>
                <w:rFonts w:ascii="Arial" w:hAnsi="Arial"/>
                <w:b/>
                <w:sz w:val="18"/>
              </w:rPr>
              <w:t>Legal Counsel</w:t>
            </w:r>
          </w:p>
        </w:tc>
        <w:tc>
          <w:tcPr>
            <w:tcW w:type="dxa" w:w="5040"/>
          </w:tcPr>
          <w:p>
            <w:pPr>
              <w:spacing w:after="0"/>
            </w:pPr>
            <w:r>
              <w:rPr>
                <w:rFonts w:ascii="Arial" w:hAnsi="Arial"/>
                <w:sz w:val="18"/>
              </w:rPr>
              <w:t>Verdi Law / [LEGAL_COUNSEL]</w:t>
            </w:r>
          </w:p>
        </w:tc>
      </w:tr>
      <w:tr>
        <w:tc>
          <w:tcPr>
            <w:tcW w:type="dxa" w:w="5040"/>
          </w:tcPr>
          <w:p>
            <w:pPr>
              <w:spacing w:after="0"/>
            </w:pPr>
            <w:r>
              <w:rPr>
                <w:rFonts w:ascii="Arial" w:hAnsi="Arial"/>
                <w:b/>
                <w:sz w:val="18"/>
              </w:rPr>
              <w:t>Issuance Size (NBFC)</w:t>
            </w:r>
          </w:p>
        </w:tc>
        <w:tc>
          <w:tcPr>
            <w:tcW w:type="dxa" w:w="5040"/>
            <w:shd w:fill="FFF2CC"/>
          </w:tcPr>
          <w:p>
            <w:pPr>
              <w:spacing w:after="0"/>
            </w:pPr>
            <w:r>
              <w:rPr>
                <w:rFonts w:ascii="Arial" w:hAnsi="Arial"/>
                <w:sz w:val="18"/>
              </w:rPr>
              <w:t>Base Issuance: INR [AMOUNT] (Indian Rupees [AMOUNT_WORDS] Only)</w:t>
            </w:r>
          </w:p>
        </w:tc>
      </w:tr>
      <w:tr>
        <w:tc>
          <w:tcPr>
            <w:tcW w:type="dxa" w:w="5040"/>
          </w:tcPr>
          <w:p>
            <w:pPr>
              <w:spacing w:after="0"/>
            </w:pPr>
            <w:r>
              <w:rPr>
                <w:rFonts w:ascii="Arial" w:hAnsi="Arial"/>
                <w:b/>
                <w:sz w:val="18"/>
              </w:rPr>
              <w:t>Issuance Size (Corporate)</w:t>
            </w:r>
          </w:p>
        </w:tc>
        <w:tc>
          <w:tcPr>
            <w:tcW w:type="dxa" w:w="5040"/>
            <w:shd w:fill="E2EFDA"/>
          </w:tcPr>
          <w:p>
            <w:pPr>
              <w:spacing w:after="0"/>
            </w:pPr>
            <w:r>
              <w:rPr>
                <w:rFonts w:ascii="Arial" w:hAnsi="Arial"/>
                <w:sz w:val="18"/>
              </w:rPr>
              <w:t>INR [AMOUNT] (Indian Rupees [AMOUNT_WORDS] Only)</w:t>
            </w:r>
          </w:p>
        </w:tc>
      </w:tr>
      <w:tr>
        <w:tc>
          <w:tcPr>
            <w:tcW w:type="dxa" w:w="5040"/>
          </w:tcPr>
          <w:p>
            <w:pPr>
              <w:spacing w:after="0"/>
            </w:pPr>
            <w:r>
              <w:rPr>
                <w:rFonts w:ascii="Arial" w:hAnsi="Arial"/>
                <w:b/>
                <w:sz w:val="18"/>
              </w:rPr>
              <w:t>Green Shoe Option (NBFC)</w:t>
            </w:r>
          </w:p>
        </w:tc>
        <w:tc>
          <w:tcPr>
            <w:tcW w:type="dxa" w:w="5040"/>
            <w:shd w:fill="FFF2CC"/>
          </w:tcPr>
          <w:p>
            <w:pPr>
              <w:spacing w:after="0"/>
            </w:pPr>
            <w:r>
              <w:rPr>
                <w:rFonts w:ascii="Arial" w:hAnsi="Arial"/>
                <w:sz w:val="18"/>
              </w:rPr>
              <w:t>INR [AMOUNT],00,000/- (Max limit per investor)</w:t>
            </w:r>
          </w:p>
        </w:tc>
      </w:tr>
      <w:tr>
        <w:tc>
          <w:tcPr>
            <w:tcW w:type="dxa" w:w="5040"/>
          </w:tcPr>
          <w:p>
            <w:pPr>
              <w:spacing w:after="0"/>
            </w:pPr>
            <w:r>
              <w:rPr>
                <w:rFonts w:ascii="Arial" w:hAnsi="Arial"/>
                <w:b/>
                <w:sz w:val="18"/>
              </w:rPr>
              <w:t>Green Shoe Option (Corporate)</w:t>
            </w:r>
          </w:p>
        </w:tc>
        <w:tc>
          <w:tcPr>
            <w:tcW w:type="dxa" w:w="5040"/>
            <w:shd w:fill="E2EFDA"/>
          </w:tcPr>
          <w:p>
            <w:pPr>
              <w:spacing w:after="0"/>
            </w:pPr>
            <w:r>
              <w:rPr>
                <w:rFonts w:ascii="Arial" w:hAnsi="Arial"/>
                <w:sz w:val="18"/>
              </w:rPr>
              <w:t>INR [AMOUNT],00,000/-</w:t>
            </w:r>
          </w:p>
        </w:tc>
      </w:tr>
      <w:tr>
        <w:tc>
          <w:tcPr>
            <w:tcW w:type="dxa" w:w="5040"/>
          </w:tcPr>
          <w:p>
            <w:pPr>
              <w:spacing w:after="0"/>
            </w:pPr>
            <w:r>
              <w:rPr>
                <w:rFonts w:ascii="Arial" w:hAnsi="Arial"/>
                <w:b/>
                <w:sz w:val="18"/>
              </w:rPr>
              <w:t>Seniority</w:t>
            </w:r>
          </w:p>
        </w:tc>
        <w:tc>
          <w:tcPr>
            <w:tcW w:type="dxa" w:w="5040"/>
            <w:shd w:fill="D9D9D9"/>
          </w:tcPr>
          <w:p>
            <w:pPr>
              <w:spacing w:after="0"/>
            </w:pPr>
            <w:r>
              <w:rPr>
                <w:rFonts w:ascii="Arial" w:hAnsi="Arial"/>
                <w:sz w:val="18"/>
              </w:rPr>
              <w:t>Senior / Subordinated</w:t>
            </w:r>
          </w:p>
        </w:tc>
      </w:tr>
      <w:tr>
        <w:tc>
          <w:tcPr>
            <w:tcW w:type="dxa" w:w="5040"/>
          </w:tcPr>
          <w:p>
            <w:pPr>
              <w:spacing w:after="0"/>
            </w:pPr>
            <w:r>
              <w:rPr>
                <w:rFonts w:ascii="Arial" w:hAnsi="Arial"/>
                <w:b/>
                <w:sz w:val="18"/>
              </w:rPr>
              <w:t>Mode of Issue</w:t>
            </w:r>
          </w:p>
        </w:tc>
        <w:tc>
          <w:tcPr>
            <w:tcW w:type="dxa" w:w="5040"/>
            <w:shd w:fill="D9D9D9"/>
          </w:tcPr>
          <w:p>
            <w:pPr>
              <w:spacing w:after="0"/>
            </w:pPr>
            <w:r>
              <w:rPr>
                <w:rFonts w:ascii="Arial" w:hAnsi="Arial"/>
                <w:sz w:val="18"/>
              </w:rPr>
              <w:t>Private Placement</w:t>
            </w:r>
          </w:p>
        </w:tc>
      </w:tr>
      <w:tr>
        <w:tc>
          <w:tcPr>
            <w:tcW w:type="dxa" w:w="5040"/>
          </w:tcPr>
          <w:p>
            <w:pPr>
              <w:spacing w:after="0"/>
            </w:pPr>
            <w:r>
              <w:rPr>
                <w:rFonts w:ascii="Arial" w:hAnsi="Arial"/>
                <w:b/>
                <w:sz w:val="18"/>
              </w:rPr>
              <w:t>Face Value</w:t>
            </w:r>
          </w:p>
        </w:tc>
        <w:tc>
          <w:tcPr>
            <w:tcW w:type="dxa" w:w="5040"/>
            <w:shd w:fill="D9D9D9"/>
          </w:tcPr>
          <w:p>
            <w:pPr>
              <w:spacing w:after="0"/>
            </w:pPr>
            <w:r>
              <w:rPr>
                <w:rFonts w:ascii="Arial" w:hAnsi="Arial"/>
                <w:sz w:val="18"/>
              </w:rPr>
              <w:t>INR 1,00,000 (Indian Rupees One Lakh Only)</w:t>
            </w:r>
          </w:p>
        </w:tc>
      </w:tr>
      <w:tr>
        <w:tc>
          <w:tcPr>
            <w:tcW w:type="dxa" w:w="5040"/>
          </w:tcPr>
          <w:p>
            <w:pPr>
              <w:spacing w:after="0"/>
            </w:pPr>
            <w:r>
              <w:rPr>
                <w:rFonts w:ascii="Arial" w:hAnsi="Arial"/>
                <w:b/>
                <w:sz w:val="18"/>
              </w:rPr>
              <w:t>Issue Price</w:t>
            </w:r>
          </w:p>
        </w:tc>
        <w:tc>
          <w:tcPr>
            <w:tcW w:type="dxa" w:w="5040"/>
            <w:shd w:fill="D9D9D9"/>
          </w:tcPr>
          <w:p>
            <w:pPr>
              <w:spacing w:after="0"/>
            </w:pPr>
            <w:r>
              <w:rPr>
                <w:rFonts w:ascii="Arial" w:hAnsi="Arial"/>
                <w:sz w:val="18"/>
              </w:rPr>
              <w:t>INR 99,812.60 (Indian Rupees Ninety-Nine Thousand Eight Hundred and Twelve 60 paise Only)</w:t>
            </w:r>
          </w:p>
        </w:tc>
      </w:tr>
      <w:tr>
        <w:tc>
          <w:tcPr>
            <w:tcW w:type="dxa" w:w="5040"/>
          </w:tcPr>
          <w:p>
            <w:pPr>
              <w:spacing w:after="0"/>
            </w:pPr>
            <w:r>
              <w:rPr>
                <w:rFonts w:ascii="Arial" w:hAnsi="Arial"/>
                <w:b/>
                <w:sz w:val="18"/>
              </w:rPr>
              <w:t>Minimum Subscription Size</w:t>
            </w:r>
          </w:p>
        </w:tc>
        <w:tc>
          <w:tcPr>
            <w:tcW w:type="dxa" w:w="5040"/>
            <w:shd w:fill="D9D9D9"/>
          </w:tcPr>
          <w:p>
            <w:pPr>
              <w:spacing w:after="0"/>
            </w:pPr>
            <w:r>
              <w:rPr>
                <w:rFonts w:ascii="Arial" w:hAnsi="Arial"/>
                <w:sz w:val="18"/>
              </w:rPr>
              <w:t>INR 1,00,000/- (Indian Rupees One Lakh Only) and in multiples thereafter</w:t>
            </w:r>
          </w:p>
        </w:tc>
      </w:tr>
      <w:tr>
        <w:tc>
          <w:tcPr>
            <w:tcW w:type="dxa" w:w="5040"/>
          </w:tcPr>
          <w:p>
            <w:pPr>
              <w:spacing w:after="0"/>
            </w:pPr>
            <w:r>
              <w:rPr>
                <w:rFonts w:ascii="Arial" w:hAnsi="Arial"/>
                <w:b/>
                <w:sz w:val="18"/>
              </w:rPr>
              <w:t>Issue Schedule</w:t>
            </w:r>
          </w:p>
        </w:tc>
        <w:tc>
          <w:tcPr>
            <w:tcW w:type="dxa" w:w="5040"/>
            <w:shd w:fill="D9D9D9"/>
          </w:tcPr>
          <w:p>
            <w:pPr>
              <w:spacing w:after="0"/>
            </w:pPr>
            <w:r>
              <w:rPr>
                <w:rFonts w:ascii="Arial" w:hAnsi="Arial"/>
                <w:sz w:val="18"/>
              </w:rPr>
              <w:t>Issue Open Date: [DATE]</w:t>
              <w:br/>
              <w:t>Issue Close Date: [DATE]</w:t>
              <w:br/>
              <w:t>Pay In Date: [DATE]</w:t>
              <w:br/>
              <w:t>Deemed Date of Allotment: [DATE]</w:t>
            </w:r>
          </w:p>
        </w:tc>
      </w:tr>
    </w:tbl>
    <w:p/>
    <w:p>
      <w:pPr>
        <w:pStyle w:val="Heading1"/>
      </w:pPr>
      <w:r>
        <w:t>SECTION 2: COUPON &amp; INTEREST DETAILS</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pPr>
              <w:spacing w:after="0"/>
            </w:pPr>
            <w:r>
              <w:rPr>
                <w:rFonts w:ascii="Arial" w:hAnsi="Arial"/>
                <w:b/>
                <w:sz w:val="18"/>
              </w:rPr>
              <w:t>Coupon Rate</w:t>
            </w:r>
          </w:p>
        </w:tc>
        <w:tc>
          <w:tcPr>
            <w:tcW w:type="dxa" w:w="5040"/>
            <w:shd w:fill="D9D9D9"/>
          </w:tcPr>
          <w:p>
            <w:pPr>
              <w:spacing w:after="0"/>
            </w:pPr>
            <w:r>
              <w:rPr>
                <w:rFonts w:ascii="Arial" w:hAnsi="Arial"/>
                <w:sz w:val="18"/>
              </w:rPr>
              <w:t>[COUPON_RATE]% p.a.</w:t>
            </w:r>
          </w:p>
        </w:tc>
      </w:tr>
      <w:tr>
        <w:tc>
          <w:tcPr>
            <w:tcW w:type="dxa" w:w="5040"/>
          </w:tcPr>
          <w:p>
            <w:pPr>
              <w:spacing w:after="0"/>
            </w:pPr>
            <w:r>
              <w:rPr>
                <w:rFonts w:ascii="Arial" w:hAnsi="Arial"/>
                <w:b/>
                <w:sz w:val="18"/>
              </w:rPr>
              <w:t>Past Issuance</w:t>
            </w:r>
          </w:p>
        </w:tc>
        <w:tc>
          <w:tcPr>
            <w:tcW w:type="dxa" w:w="5040"/>
            <w:shd w:fill="D9D9D9"/>
          </w:tcPr>
          <w:p>
            <w:pPr>
              <w:spacing w:after="0"/>
            </w:pPr>
            <w:r>
              <w:rPr>
                <w:rFonts w:ascii="Arial" w:hAnsi="Arial"/>
                <w:sz w:val="18"/>
              </w:rPr>
              <w:t>INR [AMOUNT] dated [DATE] under ISIN [ISIN]</w:t>
            </w:r>
          </w:p>
        </w:tc>
      </w:tr>
      <w:tr>
        <w:tc>
          <w:tcPr>
            <w:tcW w:type="dxa" w:w="5040"/>
          </w:tcPr>
          <w:p>
            <w:pPr>
              <w:spacing w:after="0"/>
            </w:pPr>
            <w:r>
              <w:rPr>
                <w:rFonts w:ascii="Arial" w:hAnsi="Arial"/>
                <w:b/>
                <w:sz w:val="18"/>
              </w:rPr>
              <w:t>ISIN Number</w:t>
            </w:r>
          </w:p>
        </w:tc>
        <w:tc>
          <w:tcPr>
            <w:tcW w:type="dxa" w:w="5040"/>
            <w:shd w:fill="D9D9D9"/>
          </w:tcPr>
          <w:p>
            <w:pPr>
              <w:spacing w:after="0"/>
            </w:pPr>
            <w:r>
              <w:rPr>
                <w:rFonts w:ascii="Arial" w:hAnsi="Arial"/>
                <w:sz w:val="18"/>
              </w:rPr>
              <w:t>[ISIN_NUMBER]</w:t>
            </w:r>
          </w:p>
        </w:tc>
      </w:tr>
      <w:tr>
        <w:tc>
          <w:tcPr>
            <w:tcW w:type="dxa" w:w="5040"/>
          </w:tcPr>
          <w:p>
            <w:pPr>
              <w:spacing w:after="0"/>
            </w:pPr>
            <w:r>
              <w:rPr>
                <w:rFonts w:ascii="Arial" w:hAnsi="Arial"/>
                <w:b/>
                <w:sz w:val="18"/>
              </w:rPr>
              <w:t>Coupon Frequency</w:t>
            </w:r>
          </w:p>
        </w:tc>
        <w:tc>
          <w:tcPr>
            <w:tcW w:type="dxa" w:w="5040"/>
            <w:shd w:fill="D9D9D9"/>
          </w:tcPr>
          <w:p>
            <w:pPr>
              <w:spacing w:after="0"/>
            </w:pPr>
            <w:r>
              <w:rPr>
                <w:rFonts w:ascii="Arial" w:hAnsi="Arial"/>
                <w:sz w:val="18"/>
              </w:rPr>
              <w:t>Monthly / Quarterly / Semi-Annual / Annual</w:t>
            </w:r>
          </w:p>
        </w:tc>
      </w:tr>
      <w:tr>
        <w:tc>
          <w:tcPr>
            <w:tcW w:type="dxa" w:w="5040"/>
          </w:tcPr>
          <w:p>
            <w:pPr>
              <w:spacing w:after="0"/>
            </w:pPr>
            <w:r>
              <w:rPr>
                <w:rFonts w:ascii="Arial" w:hAnsi="Arial"/>
                <w:b/>
                <w:sz w:val="18"/>
              </w:rPr>
              <w:t>Residual Tenor</w:t>
            </w:r>
          </w:p>
        </w:tc>
        <w:tc>
          <w:tcPr>
            <w:tcW w:type="dxa" w:w="5040"/>
            <w:shd w:fill="D9D9D9"/>
          </w:tcPr>
          <w:p>
            <w:pPr>
              <w:spacing w:after="0"/>
            </w:pPr>
            <w:r>
              <w:rPr>
                <w:rFonts w:ascii="Arial" w:hAnsi="Arial"/>
                <w:sz w:val="18"/>
              </w:rPr>
              <w:t>[NUMBER] Months [NUMBER] days</w:t>
            </w:r>
          </w:p>
        </w:tc>
      </w:tr>
      <w:tr>
        <w:tc>
          <w:tcPr>
            <w:tcW w:type="dxa" w:w="5040"/>
          </w:tcPr>
          <w:p>
            <w:pPr>
              <w:spacing w:after="0"/>
            </w:pPr>
            <w:r>
              <w:rPr>
                <w:rFonts w:ascii="Arial" w:hAnsi="Arial"/>
                <w:b/>
                <w:sz w:val="18"/>
              </w:rPr>
              <w:t>Principal Repayment Dates (NBFC)</w:t>
            </w:r>
          </w:p>
        </w:tc>
        <w:tc>
          <w:tcPr>
            <w:tcW w:type="dxa" w:w="5040"/>
            <w:shd w:fill="FFF2CC"/>
          </w:tcPr>
          <w:p>
            <w:pPr>
              <w:spacing w:after="0"/>
            </w:pPr>
            <w:r>
              <w:rPr>
                <w:rFonts w:ascii="Arial" w:hAnsi="Arial"/>
                <w:sz w:val="18"/>
              </w:rPr>
              <w:t>Amortization Dates as follows:</w:t>
              <w:br/>
              <w:t>[DATE 1]: [PERCENTAGE]%</w:t>
              <w:br/>
              <w:t>[DATE 2]: [PERCENTAGE]%</w:t>
              <w:br/>
              <w:t>[DATE 3]: [PERCENTAGE]%</w:t>
            </w:r>
          </w:p>
        </w:tc>
      </w:tr>
      <w:tr>
        <w:tc>
          <w:tcPr>
            <w:tcW w:type="dxa" w:w="5040"/>
          </w:tcPr>
          <w:p>
            <w:pPr>
              <w:spacing w:after="0"/>
            </w:pPr>
            <w:r>
              <w:rPr>
                <w:rFonts w:ascii="Arial" w:hAnsi="Arial"/>
                <w:b/>
                <w:sz w:val="18"/>
              </w:rPr>
              <w:t>Principal Repayment Dates (Corporate)</w:t>
            </w:r>
          </w:p>
        </w:tc>
        <w:tc>
          <w:tcPr>
            <w:tcW w:type="dxa" w:w="5040"/>
            <w:shd w:fill="E2EFDA"/>
          </w:tcPr>
          <w:p>
            <w:pPr>
              <w:spacing w:after="0"/>
            </w:pPr>
            <w:r>
              <w:rPr>
                <w:rFonts w:ascii="Arial" w:hAnsi="Arial"/>
                <w:sz w:val="18"/>
              </w:rPr>
              <w:t>Bullet / Amortized / [REPAYMENT_STRUCTURE]</w:t>
            </w:r>
          </w:p>
        </w:tc>
      </w:tr>
      <w:tr>
        <w:tc>
          <w:tcPr>
            <w:tcW w:type="dxa" w:w="5040"/>
          </w:tcPr>
          <w:p/>
        </w:tc>
        <w:tc>
          <w:tcPr>
            <w:tcW w:type="dxa" w:w="5040"/>
            <w:shd w:fill="D9D9D9"/>
          </w:tcPr>
          <w:p>
            <w:pPr>
              <w:spacing w:after="0"/>
              <w:ind w:left="288"/>
            </w:pPr>
            <w:r>
              <w:rPr>
                <w:rFonts w:ascii="Arial" w:hAnsi="Arial"/>
                <w:sz w:val="16"/>
              </w:rPr>
              <w:t>STEP UP RATE (Applicable to both NBFC and Corporate): If following the Step Up, the rating of the Debentures or the Company is downgraded from the current rating ('Rating') and/or the credit rating of the Company is downgraded from the current rating ('Company Rating'), at any point of time during the tenor of the Debentures, the Coupon rate shall increase by 0.5% (zero decimal five percent) for each notch downgrade of 1 (one) notch from the rating of the Debentures and/or Company ('Step Up Rate'). Following the Step Up until the rating of the Debentures and/or Company is restored to the Rating and/or the Company Rating (as the case may be), such increased rate of interest shall be applicable from the date of such downgrade.</w:t>
            </w:r>
          </w:p>
        </w:tc>
      </w:tr>
    </w:tbl>
    <w:p/>
    <w:p>
      <w:pPr>
        <w:pStyle w:val="Heading1"/>
      </w:pPr>
      <w:r>
        <w:t>SECTION 3: ISSUE PERIOD &amp; CLOSURE</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pPr>
              <w:spacing w:after="0"/>
            </w:pPr>
            <w:r>
              <w:rPr>
                <w:rFonts w:ascii="Arial" w:hAnsi="Arial"/>
                <w:b/>
                <w:sz w:val="18"/>
              </w:rPr>
              <w:t>Minimum Subscription Size</w:t>
            </w:r>
          </w:p>
        </w:tc>
        <w:tc>
          <w:tcPr>
            <w:tcW w:type="dxa" w:w="5040"/>
            <w:shd w:fill="D9D9D9"/>
          </w:tcPr>
          <w:p>
            <w:pPr>
              <w:spacing w:after="0"/>
            </w:pPr>
            <w:r>
              <w:rPr>
                <w:rFonts w:ascii="Arial" w:hAnsi="Arial"/>
                <w:sz w:val="18"/>
              </w:rPr>
              <w:t>INR 1,00,000/- (Indian Rupees One Lakh Only) and multiples thereafter</w:t>
            </w:r>
          </w:p>
        </w:tc>
      </w:tr>
      <w:tr>
        <w:tc>
          <w:tcPr>
            <w:tcW w:type="dxa" w:w="5040"/>
          </w:tcPr>
          <w:p>
            <w:pPr>
              <w:spacing w:after="0"/>
            </w:pPr>
            <w:r>
              <w:rPr>
                <w:rFonts w:ascii="Arial" w:hAnsi="Arial"/>
                <w:b/>
                <w:sz w:val="18"/>
              </w:rPr>
              <w:t>Issue Schedule</w:t>
            </w:r>
          </w:p>
        </w:tc>
        <w:tc>
          <w:tcPr>
            <w:tcW w:type="dxa" w:w="5040"/>
            <w:shd w:fill="D9D9D9"/>
          </w:tcPr>
          <w:p>
            <w:pPr>
              <w:spacing w:after="0"/>
            </w:pPr>
            <w:r>
              <w:rPr>
                <w:rFonts w:ascii="Arial" w:hAnsi="Arial"/>
                <w:sz w:val="18"/>
              </w:rPr>
              <w:t>Issue Open Date: [DATE]</w:t>
              <w:br/>
              <w:t>Issue Close Date: [DATE]</w:t>
            </w:r>
          </w:p>
        </w:tc>
      </w:tr>
      <w:tr>
        <w:tc>
          <w:tcPr>
            <w:tcW w:type="dxa" w:w="5040"/>
          </w:tcPr>
          <w:p>
            <w:pPr>
              <w:spacing w:after="0"/>
            </w:pPr>
            <w:r>
              <w:rPr>
                <w:rFonts w:ascii="Arial" w:hAnsi="Arial"/>
                <w:b/>
                <w:sz w:val="18"/>
              </w:rPr>
              <w:t>Pay In Date</w:t>
            </w:r>
          </w:p>
        </w:tc>
        <w:tc>
          <w:tcPr>
            <w:tcW w:type="dxa" w:w="5040"/>
            <w:shd w:fill="D9D9D9"/>
          </w:tcPr>
          <w:p>
            <w:pPr>
              <w:spacing w:after="0"/>
            </w:pPr>
            <w:r>
              <w:rPr>
                <w:rFonts w:ascii="Arial" w:hAnsi="Arial"/>
                <w:sz w:val="18"/>
              </w:rPr>
              <w:t>[DATE]</w:t>
            </w:r>
          </w:p>
        </w:tc>
      </w:tr>
      <w:tr>
        <w:tc>
          <w:tcPr>
            <w:tcW w:type="dxa" w:w="5040"/>
          </w:tcPr>
          <w:p>
            <w:pPr>
              <w:spacing w:after="0"/>
            </w:pPr>
            <w:r>
              <w:rPr>
                <w:rFonts w:ascii="Arial" w:hAnsi="Arial"/>
                <w:b/>
                <w:sz w:val="18"/>
              </w:rPr>
              <w:t>Deemed Date of Allotment</w:t>
            </w:r>
          </w:p>
        </w:tc>
        <w:tc>
          <w:tcPr>
            <w:tcW w:type="dxa" w:w="5040"/>
            <w:shd w:fill="D9D9D9"/>
          </w:tcPr>
          <w:p>
            <w:pPr>
              <w:spacing w:after="0"/>
            </w:pPr>
            <w:r>
              <w:rPr>
                <w:rFonts w:ascii="Arial" w:hAnsi="Arial"/>
                <w:sz w:val="18"/>
              </w:rPr>
              <w:t>[DATE]</w:t>
            </w:r>
          </w:p>
        </w:tc>
      </w:tr>
    </w:tbl>
    <w:p/>
    <w:p>
      <w:pPr>
        <w:pStyle w:val="Heading1"/>
      </w:pPr>
      <w:r>
        <w:t>SECTION 4: BUSINESS DAYS &amp; SETTLEMENT</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pPr>
              <w:spacing w:after="0"/>
            </w:pPr>
            <w:r>
              <w:rPr>
                <w:rFonts w:ascii="Arial" w:hAnsi="Arial"/>
                <w:b/>
                <w:sz w:val="18"/>
              </w:rPr>
              <w:t>Business Days</w:t>
            </w:r>
          </w:p>
        </w:tc>
        <w:tc>
          <w:tcPr>
            <w:tcW w:type="dxa" w:w="5040"/>
            <w:shd w:fill="D9D9D9"/>
          </w:tcPr>
          <w:p>
            <w:pPr>
              <w:spacing w:after="0"/>
            </w:pPr>
            <w:r>
              <w:rPr>
                <w:rFonts w:ascii="Arial" w:hAnsi="Arial"/>
                <w:sz w:val="18"/>
              </w:rPr>
              <w:t>The day on which payment of interest/redemption with respect to debt securities falls due. Interest/redemption payments shall be made only on the days when the money market is functioning in Mumbai and Delhi.</w:t>
            </w:r>
          </w:p>
        </w:tc>
      </w:tr>
      <w:tr>
        <w:tc>
          <w:tcPr>
            <w:tcW w:type="dxa" w:w="5040"/>
          </w:tcPr>
          <w:p>
            <w:pPr>
              <w:spacing w:after="0"/>
            </w:pPr>
            <w:r>
              <w:rPr>
                <w:rFonts w:ascii="Arial" w:hAnsi="Arial"/>
                <w:b/>
                <w:sz w:val="18"/>
              </w:rPr>
              <w:t>Business Day Convention</w:t>
            </w:r>
          </w:p>
        </w:tc>
        <w:tc>
          <w:tcPr>
            <w:tcW w:type="dxa" w:w="5040"/>
            <w:shd w:fill="D9D9D9"/>
          </w:tcPr>
          <w:p>
            <w:pPr>
              <w:spacing w:after="0"/>
            </w:pPr>
            <w:r>
              <w:rPr>
                <w:rFonts w:ascii="Arial" w:hAnsi="Arial"/>
                <w:sz w:val="18"/>
              </w:rPr>
              <w:t>Additionally, a day (other than a Saturday, Sunday or a Bank Holiday) on which banks are open for general business in Mumbai and Delhi:</w:t>
              <w:br/>
              <w:t>• If any coupon payment date falls on a day that is not a working day, the payment shall be made on the immediately succeeding working day</w:t>
              <w:br/>
              <w:t>• If the redemption date of the Debentures falls on a day that is not a working day, the redemption proceeds and coupon payment shall be paid on the immediately preceding working day</w:t>
            </w:r>
          </w:p>
        </w:tc>
      </w:tr>
    </w:tbl>
    <w:p/>
    <w:p>
      <w:pPr>
        <w:pStyle w:val="Heading1"/>
      </w:pPr>
      <w:r>
        <w:t>SECTION 5: RANKING &amp; SECURITY</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pPr>
              <w:spacing w:after="0"/>
            </w:pPr>
            <w:r>
              <w:rPr>
                <w:rFonts w:ascii="Arial" w:hAnsi="Arial"/>
                <w:b/>
                <w:sz w:val="18"/>
              </w:rPr>
              <w:t>Ranking</w:t>
            </w:r>
          </w:p>
        </w:tc>
        <w:tc>
          <w:tcPr>
            <w:tcW w:type="dxa" w:w="5040"/>
            <w:shd w:fill="D9D9D9"/>
          </w:tcPr>
          <w:p>
            <w:pPr>
              <w:spacing w:after="0"/>
            </w:pPr>
            <w:r>
              <w:rPr>
                <w:rFonts w:ascii="Arial" w:hAnsi="Arial"/>
                <w:sz w:val="18"/>
              </w:rPr>
              <w:t>Each Debenture issued by The Issuer will constitute direct and senior obligations of the Issuer. The claims of the Debenture Holders shall be akin to the claims of senior, secured investors / lenders and shall rank pari passu in relation to their senior, secured indebtedness of the Issuer.</w:t>
            </w:r>
          </w:p>
        </w:tc>
      </w:tr>
      <w:tr>
        <w:tc>
          <w:tcPr>
            <w:tcW w:type="dxa" w:w="5040"/>
          </w:tcPr>
          <w:p>
            <w:pPr>
              <w:spacing w:after="0"/>
            </w:pPr>
            <w:r>
              <w:rPr>
                <w:rFonts w:ascii="Arial" w:hAnsi="Arial"/>
                <w:b/>
                <w:sz w:val="18"/>
              </w:rPr>
              <w:t>Registrar &amp; Transfer Agent</w:t>
            </w:r>
          </w:p>
        </w:tc>
        <w:tc>
          <w:tcPr>
            <w:tcW w:type="dxa" w:w="5040"/>
            <w:shd w:fill="D9D9D9"/>
          </w:tcPr>
          <w:p>
            <w:pPr>
              <w:spacing w:after="0"/>
            </w:pPr>
            <w:r>
              <w:rPr>
                <w:rFonts w:ascii="Arial" w:hAnsi="Arial"/>
                <w:sz w:val="18"/>
              </w:rPr>
              <w:t>MUFG Intime India Private Limited</w:t>
            </w:r>
          </w:p>
        </w:tc>
      </w:tr>
      <w:tr>
        <w:tc>
          <w:tcPr>
            <w:tcW w:type="dxa" w:w="5040"/>
          </w:tcPr>
          <w:p>
            <w:pPr>
              <w:spacing w:after="0"/>
            </w:pPr>
            <w:r>
              <w:rPr>
                <w:rFonts w:ascii="Arial" w:hAnsi="Arial"/>
                <w:b/>
                <w:sz w:val="18"/>
              </w:rPr>
              <w:t>Depository</w:t>
            </w:r>
          </w:p>
        </w:tc>
        <w:tc>
          <w:tcPr>
            <w:tcW w:type="dxa" w:w="5040"/>
            <w:shd w:fill="D9D9D9"/>
          </w:tcPr>
          <w:p>
            <w:pPr>
              <w:spacing w:after="0"/>
            </w:pPr>
            <w:r>
              <w:rPr>
                <w:rFonts w:ascii="Arial" w:hAnsi="Arial"/>
                <w:sz w:val="18"/>
              </w:rPr>
              <w:t>NSDL &amp; CDSL</w:t>
            </w:r>
          </w:p>
        </w:tc>
      </w:tr>
      <w:tr>
        <w:tc>
          <w:tcPr>
            <w:tcW w:type="dxa" w:w="5040"/>
          </w:tcPr>
          <w:p>
            <w:pPr>
              <w:spacing w:after="0"/>
            </w:pPr>
            <w:r>
              <w:rPr>
                <w:rFonts w:ascii="Arial" w:hAnsi="Arial"/>
                <w:b/>
                <w:sz w:val="18"/>
              </w:rPr>
              <w:t>Issuance Mode</w:t>
            </w:r>
          </w:p>
        </w:tc>
        <w:tc>
          <w:tcPr>
            <w:tcW w:type="dxa" w:w="5040"/>
            <w:shd w:fill="D9D9D9"/>
          </w:tcPr>
          <w:p>
            <w:pPr>
              <w:spacing w:after="0"/>
            </w:pPr>
            <w:r>
              <w:rPr>
                <w:rFonts w:ascii="Arial" w:hAnsi="Arial"/>
                <w:sz w:val="18"/>
              </w:rPr>
              <w:t>Dematerialized, Private Placement</w:t>
            </w:r>
          </w:p>
        </w:tc>
      </w:tr>
      <w:tr>
        <w:tc>
          <w:tcPr>
            <w:tcW w:type="dxa" w:w="5040"/>
          </w:tcPr>
          <w:p>
            <w:pPr>
              <w:spacing w:after="0"/>
            </w:pPr>
            <w:r>
              <w:rPr>
                <w:rFonts w:ascii="Arial" w:hAnsi="Arial"/>
                <w:b/>
                <w:sz w:val="18"/>
              </w:rPr>
              <w:t>Trading Mode</w:t>
            </w:r>
          </w:p>
        </w:tc>
        <w:tc>
          <w:tcPr>
            <w:tcW w:type="dxa" w:w="5040"/>
            <w:shd w:fill="D9D9D9"/>
          </w:tcPr>
          <w:p>
            <w:pPr>
              <w:spacing w:after="0"/>
            </w:pPr>
            <w:r>
              <w:rPr>
                <w:rFonts w:ascii="Arial" w:hAnsi="Arial"/>
                <w:sz w:val="18"/>
              </w:rPr>
              <w:t>Dematerialized</w:t>
            </w:r>
          </w:p>
        </w:tc>
      </w:tr>
      <w:tr>
        <w:tc>
          <w:tcPr>
            <w:tcW w:type="dxa" w:w="5040"/>
          </w:tcPr>
          <w:p>
            <w:pPr>
              <w:spacing w:after="0"/>
            </w:pPr>
            <w:r>
              <w:rPr>
                <w:rFonts w:ascii="Arial" w:hAnsi="Arial"/>
                <w:b/>
                <w:sz w:val="18"/>
              </w:rPr>
              <w:t>Settlement Mode</w:t>
            </w:r>
          </w:p>
        </w:tc>
        <w:tc>
          <w:tcPr>
            <w:tcW w:type="dxa" w:w="5040"/>
            <w:shd w:fill="D9D9D9"/>
          </w:tcPr>
          <w:p>
            <w:pPr>
              <w:spacing w:after="0"/>
            </w:pPr>
            <w:r>
              <w:rPr>
                <w:rFonts w:ascii="Arial" w:hAnsi="Arial"/>
                <w:sz w:val="18"/>
              </w:rPr>
              <w:t>RTGS / NEFT</w:t>
            </w:r>
          </w:p>
        </w:tc>
      </w:tr>
      <w:tr>
        <w:tc>
          <w:tcPr>
            <w:tcW w:type="dxa" w:w="5040"/>
          </w:tcPr>
          <w:p>
            <w:pPr>
              <w:spacing w:after="0"/>
            </w:pPr>
            <w:r>
              <w:rPr>
                <w:rFonts w:ascii="Arial" w:hAnsi="Arial"/>
                <w:b/>
                <w:sz w:val="18"/>
              </w:rPr>
              <w:t>Listing</w:t>
            </w:r>
          </w:p>
        </w:tc>
        <w:tc>
          <w:tcPr>
            <w:tcW w:type="dxa" w:w="5040"/>
            <w:shd w:fill="D9D9D9"/>
          </w:tcPr>
          <w:p>
            <w:pPr>
              <w:spacing w:after="0"/>
            </w:pPr>
            <w:r>
              <w:rPr>
                <w:rFonts w:ascii="Arial" w:hAnsi="Arial"/>
                <w:sz w:val="18"/>
              </w:rPr>
              <w:t>The Debentures are proposed to be listed on the Bombay Stock Exchange ('BSE') within 3 trading days of the Closure Date. Application for listing is required to be completed within 3 trading days of the Closure Date.</w:t>
            </w:r>
          </w:p>
        </w:tc>
      </w:tr>
    </w:tbl>
    <w:p/>
    <w:p>
      <w:pPr>
        <w:pStyle w:val="Heading1"/>
      </w:pPr>
      <w:r>
        <w:t>SECTION 6: RECORD DATE</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pPr>
              <w:spacing w:after="0"/>
            </w:pPr>
            <w:r>
              <w:rPr>
                <w:rFonts w:ascii="Arial" w:hAnsi="Arial"/>
                <w:b/>
                <w:sz w:val="18"/>
              </w:rPr>
              <w:t>Record Date</w:t>
            </w:r>
          </w:p>
        </w:tc>
        <w:tc>
          <w:tcPr>
            <w:tcW w:type="dxa" w:w="5040"/>
            <w:shd w:fill="D9D9D9"/>
          </w:tcPr>
          <w:p>
            <w:pPr>
              <w:spacing w:after="0"/>
            </w:pPr>
            <w:r>
              <w:rPr>
                <w:rFonts w:ascii="Arial" w:hAnsi="Arial"/>
                <w:sz w:val="18"/>
              </w:rPr>
              <w:t>The date, as may be fixed by the Company, which will be T5 calendar days prior to the redemption date on which the determination of the persons entitled to receive coupon/interest in respect of the Debentures or holders of Debenture as on such dates where names are registered in the register of Debenture Holders or NSDL/CDSL record) shall be made.</w:t>
            </w:r>
          </w:p>
        </w:tc>
      </w:tr>
    </w:tbl>
    <w:p/>
    <w:p>
      <w:pPr>
        <w:pStyle w:val="Heading1"/>
      </w:pPr>
      <w:r>
        <w:t>SECTION 7: END USE OF PROCEEDS</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tc>
        <w:tc>
          <w:tcPr>
            <w:tcW w:type="dxa" w:w="5040"/>
            <w:shd w:fill="D9D9D9"/>
          </w:tcPr>
          <w:p>
            <w:pPr>
              <w:spacing w:after="0"/>
              <w:ind w:left="288"/>
            </w:pPr>
            <w:r>
              <w:rPr>
                <w:rFonts w:ascii="Arial" w:hAnsi="Arial"/>
                <w:sz w:val="16"/>
              </w:rPr>
              <w:t>The proceeds of the issuance of debentures will be utilised by the Issuer for [SPECIFY_USE_OF_FUNDS].</w:t>
              <w:br/>
              <w:br/>
              <w:t>Without prejudice to the above, the proceeds shall not, directly or indirectly, be used by the Issuer for:</w:t>
              <w:br/>
              <w:t>• Investments in capital markets (including equity, debt, debt linked, and equity linked instruments etc) and real estate</w:t>
              <w:br/>
              <w:t>• Any speculative purposes</w:t>
              <w:br/>
              <w:t>• Land acquisition or usages that are restricted for bank financing</w:t>
              <w:br/>
              <w:t>• Related party transactions</w:t>
            </w:r>
          </w:p>
        </w:tc>
      </w:tr>
    </w:tbl>
    <w:p/>
    <w:p>
      <w:pPr>
        <w:pStyle w:val="Heading1"/>
      </w:pPr>
      <w:r>
        <w:t>SECTION 8: SECURITY &amp; HYPOTHECATION</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pPr>
              <w:spacing w:after="0"/>
            </w:pPr>
            <w:r>
              <w:rPr>
                <w:rFonts w:ascii="Arial" w:hAnsi="Arial"/>
                <w:b/>
                <w:sz w:val="18"/>
              </w:rPr>
              <w:t>Security Type (NBFC)</w:t>
            </w:r>
          </w:p>
        </w:tc>
        <w:tc>
          <w:tcPr>
            <w:tcW w:type="dxa" w:w="5040"/>
            <w:shd w:fill="FFF2CC"/>
          </w:tcPr>
          <w:p>
            <w:pPr>
              <w:spacing w:after="0"/>
            </w:pPr>
            <w:r>
              <w:rPr>
                <w:rFonts w:ascii="Arial" w:hAnsi="Arial"/>
                <w:sz w:val="18"/>
              </w:rPr>
              <w:t>DEED OF HYPOTHECATION (DOH) - Floating charge on pool of assets (Underlying Loans and Receivables)</w:t>
              <w:br/>
              <w:br/>
              <w:t>Security Cover Ratio: Minimum 1.1x (one point one zero times) of Outstanding Amount</w:t>
            </w:r>
          </w:p>
        </w:tc>
      </w:tr>
      <w:tr>
        <w:tc>
          <w:tcPr>
            <w:tcW w:type="dxa" w:w="5040"/>
          </w:tcPr>
          <w:p>
            <w:pPr>
              <w:spacing w:after="0"/>
            </w:pPr>
            <w:r>
              <w:rPr>
                <w:rFonts w:ascii="Arial" w:hAnsi="Arial"/>
                <w:b/>
                <w:sz w:val="18"/>
              </w:rPr>
              <w:t>Security Type (Corporate)</w:t>
            </w:r>
          </w:p>
        </w:tc>
        <w:tc>
          <w:tcPr>
            <w:tcW w:type="dxa" w:w="5040"/>
            <w:shd w:fill="E2EFDA"/>
          </w:tcPr>
          <w:p>
            <w:pPr>
              <w:spacing w:after="0"/>
            </w:pPr>
            <w:r>
              <w:rPr>
                <w:rFonts w:ascii="Arial" w:hAnsi="Arial"/>
                <w:sz w:val="18"/>
              </w:rPr>
              <w:t>MORTGAGE - First ranking legal mortgage on immovable assets and charge on current assets (Inventory, Trade Receivables, Bank Balances)</w:t>
              <w:br/>
              <w:br/>
              <w:t>Security Cover Ratio: [AS PER DEBENTURE TRUST DEED]</w:t>
            </w:r>
          </w:p>
        </w:tc>
      </w:tr>
      <w:tr>
        <w:tc>
          <w:tcPr>
            <w:tcW w:type="dxa" w:w="5040"/>
          </w:tcPr>
          <w:p/>
        </w:tc>
        <w:tc>
          <w:tcPr>
            <w:tcW w:type="dxa" w:w="5040"/>
            <w:shd w:fill="FFF2CC"/>
          </w:tcPr>
          <w:p>
            <w:pPr>
              <w:spacing w:after="0"/>
              <w:ind w:left="288"/>
            </w:pPr>
            <w:r>
              <w:rPr>
                <w:rFonts w:ascii="Arial" w:hAnsi="Arial"/>
                <w:sz w:val="16"/>
              </w:rPr>
              <w:t>NBFC SECURITY (Floating Charge - Pool of Underlying Loans):</w:t>
              <w:br/>
              <w:t>The value of the Hypothecated Assets (gold loan receivables and related collateral) charged as Security in favour of the Debenture Trustee is maintained at least 1.1x (one point one zero times) of Outstanding Amount and shall be maintained at all times until the redemption of the Debentures and payment of the Secured Obligations. The terms and process of creation of hypothecation shall be provided in detail under the transaction documents.</w:t>
              <w:br/>
              <w:br/>
              <w:t>The issue amounts outstanding under the Debentures together with coupon, default interest, remuneration of the Trustee, charges, fees, expenses and all other monies due from the Company shall be secured on a first ranking exclusive and continuing charge basis by way of hypothecation of a floating nature (pool of assets) up to the Security Cover Ratio in favour of the Debenture Trustee over loan receivables that meet the Eligibility Criteria as set out in Schedule II of Debenture Trust Deed with the prescribed Security Cover. Hypothecation shall be of a floating nature allowing the NBFC to utilize and replace assets within the pool as long as Security Cover Ratio is maintained.</w:t>
            </w:r>
          </w:p>
        </w:tc>
      </w:tr>
      <w:tr>
        <w:tc>
          <w:tcPr>
            <w:tcW w:type="dxa" w:w="5040"/>
          </w:tcPr>
          <w:p/>
        </w:tc>
        <w:tc>
          <w:tcPr>
            <w:tcW w:type="dxa" w:w="5040"/>
            <w:shd w:fill="E2EFDA"/>
          </w:tcPr>
          <w:p>
            <w:pPr>
              <w:spacing w:after="0"/>
              <w:ind w:left="288"/>
            </w:pPr>
            <w:r>
              <w:rPr>
                <w:rFonts w:ascii="Arial" w:hAnsi="Arial"/>
                <w:sz w:val="16"/>
              </w:rPr>
              <w:t>CORPORATE SECURITY (Mortgage - Immovable Assets):</w:t>
              <w:br/>
              <w:t>A first ranking legal mortgage on identified immovable properties and fixed charge on current assets shall secure the Debentures. The security shall be created through a registered mortgage deed with the appropriate authorities. The Issuer shall ensure that such properties are unencumbered and free from all liens and charges prior to hypothecation. A quarterly valuation of the secured assets shall be undertaken to ensure the Security Cover Ratio is maintained as per the Debenture Trust Deed.</w:t>
            </w:r>
          </w:p>
        </w:tc>
      </w:tr>
      <w:tr>
        <w:tc>
          <w:tcPr>
            <w:tcW w:type="dxa" w:w="5040"/>
          </w:tcPr>
          <w:p/>
        </w:tc>
        <w:tc>
          <w:tcPr>
            <w:tcW w:type="dxa" w:w="5040"/>
            <w:shd w:fill="D9D9D9"/>
          </w:tcPr>
          <w:p>
            <w:pPr>
              <w:spacing w:after="0"/>
              <w:ind w:left="288"/>
            </w:pPr>
            <w:r>
              <w:rPr>
                <w:rFonts w:ascii="Arial" w:hAnsi="Arial"/>
                <w:sz w:val="16"/>
              </w:rPr>
              <w:t>Issuer to provide a list of [NBFC: gold loan receivables / CORPORATE: immovable properties] to the Debenture Trustee over which charges are created and assigning by way of hypothecation in favour of the Trustee (for the benefit of the Debenture Holders) and [NBFC: monthly / CORPORATE: quarterly] verification within the 15th day of every calendar month/quarter.</w:t>
            </w:r>
          </w:p>
        </w:tc>
      </w:tr>
      <w:tr>
        <w:tc>
          <w:tcPr>
            <w:tcW w:type="dxa" w:w="5040"/>
          </w:tcPr>
          <w:p/>
        </w:tc>
        <w:tc>
          <w:tcPr>
            <w:tcW w:type="dxa" w:w="5040"/>
            <w:shd w:fill="D9D9D9"/>
          </w:tcPr>
          <w:p>
            <w:pPr>
              <w:spacing w:after="0"/>
              <w:ind w:left="288"/>
            </w:pPr>
            <w:r>
              <w:rPr>
                <w:rFonts w:ascii="Arial" w:hAnsi="Arial"/>
                <w:sz w:val="16"/>
              </w:rPr>
              <w:t xml:space="preserve">Replacement of security: </w:t>
              <w:br/>
              <w:t>NBFC: The Issuer shall, within the timelines prescribed under the Deed of Hypothecation replace such Hypothecated Assets from the pool if they fail to satisfy the Eligibility Criteria. The floating nature of the charge permits replacement as long as the aggregate Security Cover Ratio is maintained.</w:t>
              <w:br/>
              <w:br/>
              <w:t>CORPORATE: The Issuer shall replace any mortgaged property that becomes encumbered or fails to meet valuation standards. Any replacement property must be approved by the Debenture Trustee prior to substitution.</w:t>
            </w:r>
          </w:p>
        </w:tc>
      </w:tr>
      <w:tr>
        <w:tc>
          <w:tcPr>
            <w:tcW w:type="dxa" w:w="5040"/>
          </w:tcPr>
          <w:p/>
        </w:tc>
        <w:tc>
          <w:tcPr>
            <w:tcW w:type="dxa" w:w="5040"/>
            <w:shd w:fill="D9D9D9"/>
          </w:tcPr>
          <w:p>
            <w:pPr>
              <w:spacing w:after="0"/>
              <w:ind w:left="288"/>
            </w:pPr>
            <w:r>
              <w:rPr>
                <w:rFonts w:ascii="Arial" w:hAnsi="Arial"/>
                <w:sz w:val="16"/>
              </w:rPr>
              <w:t>Revaluation of security: The Debenture Trustee can do a [NBFC: quarterly / CORPORATE: half-yearly] valuation of the hypothecated/mortgaged assets and re-value as deemed fit. If in its opinion the Security Cover is falling or is low, all costs for such valuation shall be borne by the Issuer.</w:t>
            </w:r>
          </w:p>
        </w:tc>
      </w:tr>
      <w:tr>
        <w:tc>
          <w:tcPr>
            <w:tcW w:type="dxa" w:w="5040"/>
          </w:tcPr>
          <w:p/>
        </w:tc>
        <w:tc>
          <w:tcPr>
            <w:tcW w:type="dxa" w:w="5040"/>
            <w:shd w:fill="D9D9D9"/>
          </w:tcPr>
          <w:p>
            <w:pPr>
              <w:spacing w:after="0"/>
              <w:ind w:left="288"/>
            </w:pPr>
            <w:r>
              <w:rPr>
                <w:rFonts w:ascii="Arial" w:hAnsi="Arial"/>
                <w:sz w:val="16"/>
              </w:rPr>
              <w:t>Interest to the Debenture Holder over and above the Coupon rate: The Issuer's failure to create and perfect security [NBFC: hypothecation over eligible loan assets / CORPORATE: mortgage on immovable properties] within the timeline stipulated under the Transaction Documents shall attract a 2% p.a. additional interest over the Coupon.</w:t>
            </w:r>
          </w:p>
        </w:tc>
      </w:tr>
    </w:tbl>
    <w:p/>
    <w:p>
      <w:pPr>
        <w:pStyle w:val="Heading1"/>
      </w:pPr>
      <w:r>
        <w:t>SECTION 9: ELIGIBILITY CRITERIA FOR CLIENT LOANS (NBFC ONLY)</w:t>
      </w:r>
    </w:p>
    <w:tbl>
      <w:tblPr>
        <w:tblStyle w:val="LightGrid-Accent1"/>
        <w:tblW w:type="auto" w:w="0"/>
        <w:tblLook w:firstColumn="1" w:firstRow="1" w:lastColumn="0" w:lastRow="0" w:noHBand="0" w:noVBand="1" w:val="04A0"/>
      </w:tblPr>
      <w:tblGrid>
        <w:gridCol w:w="10080"/>
      </w:tblGrid>
      <w:tr>
        <w:tc>
          <w:tcPr>
            <w:tcW w:type="dxa" w:w="10080"/>
            <w:shd w:fill="FFF2CC"/>
          </w:tcPr>
          <w:p>
            <w:r>
              <w:rPr>
                <w:rFonts w:ascii="Arial" w:hAnsi="Arial"/>
                <w:sz w:val="16"/>
              </w:rPr>
              <w:t>APPLICABLE TO NBFC ISSUERS ONLY - Underlying Loan Eligibility Criteria</w:t>
              <w:br/>
              <w:br/>
              <w:t>Commencing from the Effective Date until the Final Settlement Date, each Client Loan underlying the Hypothecated Assets shall meet the following criteria:</w:t>
              <w:br/>
              <w:br/>
              <w:t>1) Each Client Loan underlying the Hypothecated Assets shall be standard at the time of selection;</w:t>
              <w:br/>
              <w:br/>
              <w:t>2) Each Client Loan constituting the portfolio shall be towards Secured Loan products offered by the Company to its borrowers (Sole proprietorship/individuals) for the purpose of his/her business or any other usage (jewelers and pawn brokers). Secured loan products shall mean:</w:t>
              <w:br/>
              <w:t xml:space="preserve">   • Gold Loans LTV in accordance with provision of latest RBI norms dated 6th June 2025 and updated guidelines from time to time</w:t>
              <w:br/>
              <w:br/>
              <w:t>3) Client Loans secured by gold as an underlying security;</w:t>
              <w:br/>
              <w:br/>
              <w:t>4) No Client Loan underlying the Hypothecated Assets should have been restructured or rescheduled (determined in accordance with the criteria prescribed by the RBI);</w:t>
              <w:br/>
              <w:br/>
              <w:t>5) Each Client Loan (as defined under this Deed) underlying the Hypothecated Assets must be in compliance with all applicable know-your-customer requirements prescribed by the RBI;</w:t>
              <w:br/>
              <w:br/>
              <w:t>6) Each Client Loan underlying the Hypothecated Assets must have been originated by the Company, and must not have been purchased from any other third party;</w:t>
              <w:br/>
              <w:br/>
              <w:t>7) Each Client Loan underlying the Hypothecated Assets must be in compliance with all customer protection regulations as prescribed by the RBI;</w:t>
              <w:br/>
              <w:br/>
              <w:t>8) Each Client Loan underlying the Hypothecated Assets must conform to the credit and underwriting policies adopted by the Company and must have been originated after conducting such checks with the credit reporting agencies as are used by the Company in its ordinary course of business;</w:t>
              <w:br/>
              <w:br/>
              <w:t>9) Each Client Loan underlying the Hypothecated Assets shall not be obtained from a related party;</w:t>
              <w:br/>
              <w:br/>
              <w:t>10) No Client Loan underlying the Hypothecated Assets shall be overdue for more than 30 (thirty) days;</w:t>
              <w:br/>
              <w:br/>
              <w:t>11) Each loan constituting the Portfolio should have been fully disbursed;</w:t>
              <w:br/>
              <w:br/>
              <w:t>12) Loans constituting the Portfolio should have a ticket size of less than Rupees 5,00,000/- with a tenure not exceeding 12 months;</w:t>
              <w:br/>
              <w:br/>
              <w:t>13) Each Client Loan underlying the Hypothecated Assets should be made online (NEFT/RTGS) mode with ticket size above 20,000;</w:t>
              <w:br/>
              <w:br/>
              <w:t>14) Other than the Security Interest created pursuant to this Deed and Security Documents, each Client Loan underlying the Hypothecated Assets shall not have any encumbrance.</w:t>
            </w:r>
          </w:p>
        </w:tc>
      </w:tr>
    </w:tbl>
    <w:p/>
    <w:p>
      <w:pPr>
        <w:pStyle w:val="Heading1"/>
      </w:pPr>
      <w:r>
        <w:t>SECTION 10: DEFAULT INTEREST RATE &amp; CONSEQUENCES</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pPr>
              <w:spacing w:after="0"/>
            </w:pPr>
            <w:r>
              <w:rPr>
                <w:rFonts w:ascii="Arial" w:hAnsi="Arial"/>
                <w:b/>
                <w:sz w:val="18"/>
              </w:rPr>
              <w:t>Default Interest Rate</w:t>
            </w:r>
          </w:p>
        </w:tc>
        <w:tc>
          <w:tcPr>
            <w:tcW w:type="dxa" w:w="5040"/>
            <w:shd w:fill="D9D9D9"/>
          </w:tcPr>
          <w:p>
            <w:pPr>
              <w:spacing w:after="0"/>
            </w:pPr>
            <w:r>
              <w:rPr>
                <w:rFonts w:ascii="Arial" w:hAnsi="Arial"/>
                <w:sz w:val="18"/>
              </w:rPr>
              <w:t>• In case of default in payment of interest and/or principal redemption on the due dates, additional interest of 2% p.a. over the coupon rate will be payable by the Issuer for the defaulting period.</w:t>
              <w:br/>
              <w:br/>
              <w:t>• In case of default by the Issuer in the performance of any of the covenants of this Issuance, including but not limited to the financial covenants, additional interest of 2% p.a. will be payable by the Issuer for the defaulting period if the Issuer fails to satisfy the covenants before the end of the cure periods.</w:t>
              <w:br/>
              <w:br/>
              <w:t>• The Issuer's failure to create and perfect security shall attract a 2% p.a. additional interest over the Coupon.</w:t>
            </w:r>
          </w:p>
        </w:tc>
      </w:tr>
    </w:tbl>
    <w:p/>
    <w:p>
      <w:pPr>
        <w:pStyle w:val="Heading1"/>
      </w:pPr>
      <w:r>
        <w:t>SECTION 11: MULTIPLE ISSUANCES</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pPr>
              <w:spacing w:after="0"/>
            </w:pPr>
            <w:r>
              <w:rPr>
                <w:rFonts w:ascii="Arial" w:hAnsi="Arial"/>
                <w:b/>
                <w:sz w:val="18"/>
              </w:rPr>
              <w:t>Multiple Issuances under same ISIN</w:t>
            </w:r>
          </w:p>
        </w:tc>
        <w:tc>
          <w:tcPr>
            <w:tcW w:type="dxa" w:w="5040"/>
            <w:shd w:fill="D9D9D9"/>
          </w:tcPr>
          <w:p>
            <w:pPr>
              <w:spacing w:after="0"/>
            </w:pPr>
            <w:r>
              <w:rPr>
                <w:rFonts w:ascii="Arial" w:hAnsi="Arial"/>
                <w:sz w:val="18"/>
              </w:rPr>
              <w:t>The Issuer reserves the right to make multiple issuances under the same ISIN with reference to Chapter VIII (Specifications related to ISIN for debt securities) of the Listed NCDs Operational Circular. Any such issue can be made either at par or at premium/discount as the case may be in line with Chapter VIII of the Listed NCDs Operational Circular.</w:t>
            </w:r>
          </w:p>
        </w:tc>
      </w:tr>
    </w:tbl>
    <w:p/>
    <w:p>
      <w:pPr>
        <w:pStyle w:val="Heading1"/>
      </w:pPr>
      <w:r>
        <w:t>SECTION 12: BUY BACK &amp; PREPAYMENT</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pPr>
              <w:spacing w:after="0"/>
            </w:pPr>
            <w:r>
              <w:rPr>
                <w:rFonts w:ascii="Arial" w:hAnsi="Arial"/>
                <w:b/>
                <w:sz w:val="18"/>
              </w:rPr>
              <w:t>Buy Back</w:t>
            </w:r>
          </w:p>
        </w:tc>
        <w:tc>
          <w:tcPr>
            <w:tcW w:type="dxa" w:w="5040"/>
            <w:shd w:fill="D9D9D9"/>
          </w:tcPr>
          <w:p>
            <w:pPr>
              <w:spacing w:after="0"/>
            </w:pPr>
            <w:r>
              <w:rPr>
                <w:rFonts w:ascii="Arial" w:hAnsi="Arial"/>
                <w:sz w:val="18"/>
              </w:rPr>
              <w:t>Issuer can buy back securities subject to Applicable Law</w:t>
            </w:r>
          </w:p>
        </w:tc>
      </w:tr>
      <w:tr>
        <w:tc>
          <w:tcPr>
            <w:tcW w:type="dxa" w:w="5040"/>
          </w:tcPr>
          <w:p>
            <w:pPr>
              <w:spacing w:after="0"/>
            </w:pPr>
            <w:r>
              <w:rPr>
                <w:rFonts w:ascii="Arial" w:hAnsi="Arial"/>
                <w:b/>
                <w:sz w:val="18"/>
              </w:rPr>
              <w:t>Prepayment</w:t>
            </w:r>
          </w:p>
        </w:tc>
        <w:tc>
          <w:tcPr>
            <w:tcW w:type="dxa" w:w="5040"/>
            <w:shd w:fill="D9D9D9"/>
          </w:tcPr>
          <w:p>
            <w:pPr>
              <w:spacing w:after="0"/>
            </w:pPr>
            <w:r>
              <w:rPr>
                <w:rFonts w:ascii="Arial" w:hAnsi="Arial"/>
                <w:sz w:val="18"/>
              </w:rPr>
              <w:t>No prepayment is allowed</w:t>
            </w:r>
          </w:p>
        </w:tc>
      </w:tr>
      <w:tr>
        <w:tc>
          <w:tcPr>
            <w:tcW w:type="dxa" w:w="5040"/>
          </w:tcPr>
          <w:p>
            <w:pPr>
              <w:spacing w:after="0"/>
            </w:pPr>
            <w:r>
              <w:rPr>
                <w:rFonts w:ascii="Arial" w:hAnsi="Arial"/>
                <w:b/>
                <w:sz w:val="18"/>
              </w:rPr>
              <w:t>Interest on Application Money</w:t>
            </w:r>
          </w:p>
        </w:tc>
        <w:tc>
          <w:tcPr>
            <w:tcW w:type="dxa" w:w="5040"/>
            <w:shd w:fill="D9D9D9"/>
          </w:tcPr>
          <w:p>
            <w:pPr>
              <w:spacing w:after="0"/>
            </w:pPr>
            <w:r>
              <w:rPr>
                <w:rFonts w:ascii="Arial" w:hAnsi="Arial"/>
                <w:sz w:val="18"/>
              </w:rPr>
              <w:t>Interest at the coupon rate (subject to deduction of income tax under the provisions of the Income Tax Act, 1961) will be paid to the applicants on the application money for the Debentures for the period starting from and including the date of realization of application money in Issuer's bank account up to the day prior to the Deemed Date of Allotment.</w:t>
            </w:r>
          </w:p>
        </w:tc>
      </w:tr>
    </w:tbl>
    <w:p/>
    <w:p>
      <w:pPr>
        <w:pStyle w:val="Heading1"/>
      </w:pPr>
      <w:r>
        <w:t>SECTION 13: TRANSACTION DOCUMENTS</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tc>
        <w:tc>
          <w:tcPr>
            <w:tcW w:type="dxa" w:w="5040"/>
            <w:shd w:fill="D9D9D9"/>
          </w:tcPr>
          <w:p>
            <w:pPr>
              <w:spacing w:after="0"/>
              <w:ind w:left="288"/>
            </w:pPr>
            <w:r>
              <w:rPr>
                <w:rFonts w:ascii="Arial" w:hAnsi="Arial"/>
                <w:sz w:val="16"/>
              </w:rPr>
              <w:t>• Letter appointing Trustees to the Debenture Holders;</w:t>
              <w:br/>
              <w:t>• Debenture trusteeship agreement;</w:t>
              <w:br/>
              <w:t>• Debenture trust deed;</w:t>
              <w:br/>
              <w:t>• KID and GID;</w:t>
              <w:br/>
              <w:t>• Private placement offer letter (Form PAS 4);</w:t>
              <w:br/>
              <w:t>• Board resolution authorizing the issuance;</w:t>
              <w:br/>
              <w:t>• Applicable shareholder resolutions under the Companies Act 2013;</w:t>
              <w:br/>
              <w:t>• [NBFC: Deed of Hypothecation / CORPORATE: Mortgage Deed] (including any amendments) duly executed;</w:t>
              <w:br/>
              <w:t>• Rating agreement with the aforesaid Rating Agency(ies);</w:t>
              <w:br/>
              <w:t>• Tripartite agreements with the Depository(ies) and Registrar &amp; Transfer Agent;</w:t>
              <w:br/>
              <w:t>• Any other documents as may be agreed between the Issuer and Debenture Trustees;</w:t>
              <w:br/>
              <w:br/>
              <w:t>All Transaction Documents will comply with the requirements prescribed by the RBI and under the Companies Act, 2013 for the Issuance of NCDs.</w:t>
            </w:r>
          </w:p>
        </w:tc>
      </w:tr>
    </w:tbl>
    <w:p/>
    <w:p>
      <w:pPr>
        <w:pStyle w:val="Heading1"/>
      </w:pPr>
      <w:r>
        <w:t>SECTION 14: CROSS DEFAULT CLAUSE</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tc>
        <w:tc>
          <w:tcPr>
            <w:tcW w:type="dxa" w:w="5040"/>
            <w:shd w:fill="D9D9D9"/>
          </w:tcPr>
          <w:p>
            <w:pPr>
              <w:spacing w:after="0"/>
              <w:ind w:left="288"/>
            </w:pPr>
            <w:r>
              <w:rPr>
                <w:rFonts w:ascii="Arial" w:hAnsi="Arial"/>
                <w:sz w:val="16"/>
              </w:rPr>
              <w:t>The Company will be in default under the following circumstances:</w:t>
              <w:br/>
              <w:br/>
              <w:t>i) Defaults in any payment of Financial Indebtedness beyond the period of grace as provided as per RBI guidelines or the instrument under which such Financial Indebtedness was created, such indebtedness would have become due and payable prior to its stated maturity as a result of any actual/potential event of default;</w:t>
              <w:br/>
              <w:br/>
              <w:t>ii) Financial Indebtedness is declared to be or otherwise becomes due and payable prior to its specified maturity as a result of any actual/potential event of default or any other similar event;</w:t>
              <w:br/>
              <w:br/>
              <w:t>iii) Defaults in the observance or performance of any agreement or condition relating to any Financial Indebtedness or contained in any instrument or agreement evidencing, securing or relating thereto if the effect of such default is to cause or permit the holder or holders of such Financial Indebtedness to cause such Financial Indebtedness to become due prior to its stated maturity;</w:t>
              <w:br/>
              <w:br/>
              <w:t>iv) Any commitment for any Financial Indebtedness is cancelled or suspended by a creditor as a result of an event of default;</w:t>
              <w:br/>
              <w:br/>
              <w:t>v) Any creditor of the Company becomes entitled to declare any indebtedness of the Company due and payable prior to its specified maturity as a result of an event of default;</w:t>
              <w:br/>
              <w:br/>
              <w:t>vi) Any material suspension is declared in respect of any Financial Indebtedness of the Company.</w:t>
            </w:r>
          </w:p>
        </w:tc>
      </w:tr>
    </w:tbl>
    <w:p/>
    <w:p>
      <w:pPr>
        <w:pStyle w:val="Heading1"/>
      </w:pPr>
      <w:r>
        <w:t>SECTION 15: CONDITIONS PRECEDENT</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tc>
        <w:tc>
          <w:tcPr>
            <w:tcW w:type="dxa" w:w="5040"/>
            <w:shd w:fill="D9D9D9"/>
          </w:tcPr>
          <w:p>
            <w:pPr>
              <w:spacing w:after="0"/>
              <w:ind w:left="288"/>
            </w:pPr>
            <w:r>
              <w:rPr>
                <w:rFonts w:ascii="Arial" w:hAnsi="Arial"/>
                <w:sz w:val="16"/>
              </w:rPr>
              <w:t>The Company shall fulfill the following conditions subsequent, prior to or at the Pay-In Date of the Debenture Trustees, pursuant to the Deemed Date of Allotment:</w:t>
              <w:br/>
              <w:br/>
              <w:t>i) The Issuer shall ensure that the Debentures are credited into the demat accounts of the Debenture Holders on the Deemed Date of Allotment or within timelines provided by SEBI;</w:t>
              <w:br/>
              <w:br/>
              <w:t>ii) The Company will ensure listing of Debentures on the BSE within stipulated timelines;</w:t>
              <w:br/>
              <w:br/>
              <w:t>iii) Issuer shall file a copy of Form PAS-3 with the ROC within 15 (fifteen) days of the allotment of Debentures along with a list of the Debenture Holders and PAS 5;</w:t>
              <w:br/>
              <w:br/>
              <w:t>iv) Filing CHS-9 Form with ROC within 30 days from date of execution of [NBFC: Deed of Hypothecation / CORPORATE: Mortgage Deed];</w:t>
              <w:br/>
              <w:br/>
              <w:t>v) Execution of any other documents as customary for transaction of a similar nature and size;</w:t>
            </w:r>
          </w:p>
        </w:tc>
      </w:tr>
    </w:tbl>
    <w:p/>
    <w:p>
      <w:pPr>
        <w:pStyle w:val="Heading1"/>
      </w:pPr>
      <w:r>
        <w:t>SECTION 16: EVENTS OF DEFAULT</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tc>
        <w:tc>
          <w:tcPr>
            <w:tcW w:type="dxa" w:w="5040"/>
            <w:shd w:fill="D9D9D9"/>
          </w:tcPr>
          <w:p>
            <w:pPr>
              <w:spacing w:after="0"/>
              <w:ind w:left="288"/>
            </w:pPr>
            <w:r>
              <w:rPr>
                <w:rFonts w:ascii="Arial" w:hAnsi="Arial"/>
                <w:sz w:val="16"/>
              </w:rPr>
              <w:t>Customary for financings of this nature and others appropriate in the judgment of the Debenture Holders, including but not limited to:</w:t>
              <w:br/>
              <w:br/>
              <w:t>i) Non-payment of any of the dues under this issuance on the payment day;</w:t>
              <w:br/>
              <w:t>ii) Payment default on any other indebtedness (cross default);</w:t>
              <w:br/>
              <w:t>iii) Breach of material covenants and failure to cure within specified cure periods;</w:t>
              <w:br/>
              <w:t>iv) Material Adverse Effect on the Issuer's financial condition or operations.</w:t>
            </w:r>
          </w:p>
        </w:tc>
      </w:tr>
    </w:tbl>
    <w:p/>
    <w:p>
      <w:pPr>
        <w:pStyle w:val="Heading1"/>
      </w:pPr>
      <w:r>
        <w:t>SECTION 17: REPORTING COVENANTS</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tc>
        <w:tc>
          <w:tcPr>
            <w:tcW w:type="dxa" w:w="5040"/>
            <w:shd w:fill="D9D9D9"/>
          </w:tcPr>
          <w:p>
            <w:pPr>
              <w:spacing w:after="0"/>
              <w:ind w:left="288"/>
            </w:pPr>
            <w:r>
              <w:rPr>
                <w:rFonts w:ascii="Arial" w:hAnsi="Arial"/>
                <w:sz w:val="16"/>
              </w:rPr>
              <w:t>Yearly Reports (within 90 (ninety) days from the end of financial year):</w:t>
              <w:br/>
              <w:t>• Certificate from the Independent Chartered Accountant of the Issuer confirming compliance with the financial covenants based on audited financial statement;</w:t>
              <w:br/>
              <w:t>• Certificate signed by the Independent Chartered Accountant furnishing details [NBFC: of gold loan receivables, collateral details, portfolio composition and minimum asset cover of 1.1x / CORPORATE: of asset valuations and security cover ratio];</w:t>
              <w:br/>
              <w:t>• Annual Reports (within 180 calendar days from the end of each financial year)</w:t>
              <w:br/>
              <w:br/>
              <w:t>Quarterly Reports (within 45 (Forty-Five) calendar days from the end of each financial quarter):</w:t>
              <w:br/>
              <w:t>• The shareholding structure and composition of the board of directors in the Company;</w:t>
              <w:br/>
              <w:t>• Certificate signed by Chief Financial Officer and/or Authorized Signatory to confirm the compliance with the Financial Covenants based on last declared quarterly unaudited financial statements of the Issuer;</w:t>
              <w:br/>
              <w:t>• [NBFC: Monthly portfolio update / CORPORATE: Quarterly asset valuation report]</w:t>
              <w:br/>
              <w:br/>
              <w:t>Monthly Reports (NBFC ONLY):</w:t>
              <w:br/>
              <w:t>• Portfolio details: a) operational information, b) portfolio cuts, c) monthly disbursements, d) monthly qod statement, e) changes in Board of management f) changes in shareholding pattern g) Portfolio composition and tenure mix</w:t>
              <w:br/>
              <w:br/>
              <w:t xml:space="preserve">Event Based Reports: </w:t>
              <w:br/>
              <w:t>• Change in list of Board of Directors;</w:t>
              <w:br/>
              <w:t>• Change in shareholding structure;</w:t>
              <w:br/>
              <w:t>• Change in senior management officials (any CXO or equivalent);</w:t>
              <w:br/>
              <w:t>• Any fund amounting to more than 1% of [NBFC: Gross Loan Portfolio / CORPORATE: Total Assets];</w:t>
              <w:br/>
              <w:t>• Amendment to constitutional documents;</w:t>
              <w:br/>
              <w:t>• New segment of business other than the business carried out by the Issuer presently;</w:t>
              <w:br/>
              <w:t>• Any Regulatory Actions or effects;</w:t>
              <w:br/>
              <w:t>• Any dispute, litigation, investigation or other proceeding which could result in a Material Adverse Effect;</w:t>
              <w:br/>
              <w:t>• Any Event of Default or Potential Default, and any steps taken;</w:t>
              <w:br/>
              <w:t>• Winding up proceedings;</w:t>
              <w:br/>
              <w:t>• Application of insolvency petition under bankruptcy code/NCLT;</w:t>
              <w:br/>
              <w:br/>
              <w:t>Other Reporting as may be mentioned in the Transaction Document(s)</w:t>
            </w:r>
          </w:p>
        </w:tc>
      </w:tr>
    </w:tbl>
    <w:p/>
    <w:p>
      <w:pPr>
        <w:pStyle w:val="Heading1"/>
      </w:pPr>
      <w:r>
        <w:t>SECTION 18: FINANCIAL COVENANTS</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tc>
        <w:tc>
          <w:tcPr>
            <w:tcW w:type="dxa" w:w="5040"/>
            <w:shd w:fill="FFF2CC"/>
          </w:tcPr>
          <w:p>
            <w:pPr>
              <w:spacing w:after="0"/>
              <w:ind w:left="288"/>
            </w:pPr>
            <w:r>
              <w:rPr>
                <w:rFonts w:ascii="Arial" w:hAnsi="Arial"/>
                <w:sz w:val="16"/>
              </w:rPr>
              <w:t>NBFC-SPECIFIC FINANCIAL COVENANTS:</w:t>
              <w:br/>
              <w:br/>
              <w:t>• Minimum AUM: The AUM of the Issuer should not fall below Rs. 1,000 crores during the Tenure of this facility;</w:t>
              <w:br/>
              <w:br/>
              <w:t>• PAR (Portfolio At Risk) Ratio - PAR 60: The Company shall maintain ratio A.B of not more than 4.5% for latest done in FY28 and 3.5% going forward, where A represents the portfolio of loans (outstanding) of the Asset Under Management (including off-books) and such determination is multiplied by 100 and followed by the "%" symbol;</w:t>
              <w:br/>
              <w:br/>
              <w:t>• PAR (Portfolio At Risk) Ratio - PAR 90: The Company shall maintain a ratio of A.B not exceeding 2.50%, where A represents the NPA (Own books) minus provisions for NPA and B denotes the Gross loan portfolio (Own books) minus provisions for NPA and such determination is multiplied by 100 and followed by the "%" symbol;</w:t>
              <w:br/>
              <w:br/>
              <w:t>• ALM Mismatch: No cumulative mismatch in ALM till the tenure of the facility. For the purpose of this calculation, undern term loans are to be excluded;</w:t>
              <w:br/>
              <w:br/>
              <w:t>• Capital Adequacy Ratio (CAR): Maintain a CAR of not less than 22% (Twenty Two Percent) as prescribed by the RBI from time to time, whichever is higher;</w:t>
              <w:br/>
              <w:br/>
              <w:t>• Gold Loan Portfolio: The gold loan portfolio should consistently represent at least 66.67% of the total loan book;</w:t>
              <w:br/>
              <w:br/>
              <w:t>• Minimum Repayment: Minimum repayment of INR [AMOUNT] per debenture over tenor of the issuance;</w:t>
              <w:br/>
              <w:br/>
              <w:t>• Profit Before Tax: Ensure that its profit before tax (as determined in accordance with Applicable Accounting Standards) is not negative for any financial year and for any financial quarter starting from [DATE].</w:t>
            </w:r>
          </w:p>
        </w:tc>
      </w:tr>
      <w:tr>
        <w:tc>
          <w:tcPr>
            <w:tcW w:type="dxa" w:w="5040"/>
          </w:tcPr>
          <w:p/>
        </w:tc>
        <w:tc>
          <w:tcPr>
            <w:tcW w:type="dxa" w:w="5040"/>
            <w:shd w:fill="E2EFDA"/>
          </w:tcPr>
          <w:p>
            <w:pPr>
              <w:spacing w:after="0"/>
              <w:ind w:left="288"/>
            </w:pPr>
            <w:r>
              <w:rPr>
                <w:rFonts w:ascii="Arial" w:hAnsi="Arial"/>
                <w:sz w:val="16"/>
              </w:rPr>
              <w:t>CORPORATE-SPECIFIC FINANCIAL COVENANTS:</w:t>
              <w:br/>
              <w:br/>
              <w:t>• Debt Service Coverage Ratio (DSCR): Maintain a minimum DSCR of [SPECIFY_RATIO] on a quarterly basis;</w:t>
              <w:br/>
              <w:br/>
              <w:t>• Leverage Ratio: Total Outside Liabilities to Total Assets should not exceed [SPECIFY_RATIO];</w:t>
              <w:br/>
              <w:br/>
              <w:t>• Current Ratio: Maintain a minimum current ratio of [SPECIFY_RATIO];</w:t>
              <w:br/>
              <w:br/>
              <w:t>• Inventory Turnover: Maintain inventory turnover of not less than [SPECIFY_RATIO] times;</w:t>
              <w:br/>
              <w:br/>
              <w:t>• Return on Net Worth: Maintain ROE of not less than [SPECIFY_PERCENTAGE]%;</w:t>
              <w:br/>
              <w:br/>
              <w:t>• Capital Expenditure: Major capex to be approved by Debenture Trustee if exceeding [SPECIFY_AMOUNT];</w:t>
              <w:br/>
              <w:br/>
              <w:t>• Asset Quality: No asset should be classified as NPA for more than [SPECIFY_DAYS] days;</w:t>
              <w:br/>
              <w:br/>
              <w:t>• Profit Before Tax: Ensure PBT is positive in each fiscal year;</w:t>
              <w:br/>
              <w:br/>
              <w:t>• Working Capital: Maintain a minimum working capital of [SPECIFY_AMOUNT];</w:t>
              <w:br/>
              <w:br/>
              <w:t>Covenant Testing: All financial covenants would be tested on a quarterly basis i.e. on 31st March, 30th June, 30th September and 31st December every year starting from [DATE] till the redemption of the Debentures. The Financial covenants shall be certified by the Company within 20 calendar days from end of each reporting quarter.</w:t>
            </w:r>
          </w:p>
        </w:tc>
      </w:tr>
    </w:tbl>
    <w:p/>
    <w:p>
      <w:pPr>
        <w:pStyle w:val="Heading1"/>
      </w:pPr>
      <w:r>
        <w:t>SECTION 19: AFFIRMATIVE &amp; NEGATIVE COVENANTS</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tc>
        <w:tc>
          <w:tcPr>
            <w:tcW w:type="dxa" w:w="5040"/>
            <w:shd w:fill="D9D9D9"/>
          </w:tcPr>
          <w:p>
            <w:pPr>
              <w:spacing w:after="0"/>
              <w:ind w:left="288"/>
            </w:pPr>
            <w:r>
              <w:rPr>
                <w:rFonts w:ascii="Arial" w:hAnsi="Arial"/>
                <w:sz w:val="16"/>
              </w:rPr>
              <w:t>Affirmative Covenants (Applicable to both NBFC and Corporate):</w:t>
              <w:br/>
              <w:br/>
              <w:t>i) To utilise the proceeds of this issue in accordance with applicable laws and regulations as mentioned in Transaction Documents;</w:t>
              <w:br/>
              <w:t>ii) To comply with Companies Act, 2013, SEBI Guidelines, corporate governance, fair practices code prescribed by the RBI;</w:t>
              <w:br/>
              <w:t>iii) Notification of any potential Event of Default or Event of Default;</w:t>
              <w:br/>
              <w:t>iv) Obtain, comply with and maintain all applicable licenses / authorisations;</w:t>
              <w:br/>
              <w:t>v) Provide details of any material litigation, arbitration or administrative proceedings;</w:t>
              <w:br/>
              <w:t>vi) Maintain internal control for the purpose of (i) preventing fraud on monies lent by the Company, and (ii) preventing money being used for money laundering or illegal purposes;</w:t>
              <w:br/>
              <w:t>vii) Maintain internal audit accounts to Debenture Trustee as and when required by them;</w:t>
              <w:br/>
              <w:t>viii) Comply with any monitoring and/or servicing requests from Debenture Trustee;</w:t>
              <w:br/>
              <w:t>ix) Ensure at least 2 independent directors on the Board;</w:t>
              <w:br/>
              <w:t>x) [NBFC: Maintain hypothecation security cover at 1.1x / CORPORATE: Maintain mortgage security valuations];</w:t>
              <w:br/>
              <w:t>xi) Regular compliance certification from statutory auditors;</w:t>
            </w:r>
          </w:p>
        </w:tc>
      </w:tr>
      <w:tr>
        <w:tc>
          <w:tcPr>
            <w:tcW w:type="dxa" w:w="5040"/>
          </w:tcPr>
          <w:p/>
        </w:tc>
        <w:tc>
          <w:tcPr>
            <w:tcW w:type="dxa" w:w="5040"/>
            <w:shd w:fill="D9D9D9"/>
          </w:tcPr>
          <w:p>
            <w:pPr>
              <w:spacing w:after="0"/>
              <w:ind w:left="288"/>
            </w:pPr>
            <w:r>
              <w:rPr>
                <w:rFonts w:ascii="Arial" w:hAnsi="Arial"/>
                <w:sz w:val="16"/>
              </w:rPr>
              <w:t>Negative Covenants (Applicable to both NBFC and Corporate):</w:t>
              <w:br/>
              <w:br/>
              <w:t>The Issuer shall not without the prior written consent of the Debenture Trustee, do or undertake to do any of the following:</w:t>
              <w:br/>
              <w:br/>
              <w:t>i) Change of business or significant business segment change;</w:t>
              <w:br/>
              <w:t>ii) The Issuer shall not enter into any transaction of merger, de-merger, consolidation, re-organization, scheme of arrangement or compromise without prior written consent;</w:t>
              <w:br/>
              <w:t>iii) Incur any indebtedness [NBFC: in excess of [SPECIFIED_LIMIT] / CORPORATE: without maintaining specified leverage ratios];</w:t>
              <w:br/>
              <w:t>iv) Dispose of [NBFC: a material portion of underlying loan portfolio / CORPORATE: a material portion of core assets/business undertaking];</w:t>
              <w:br/>
              <w:t>v) Related party transactions exceeding [SPECIFIED_LIMIT] unless specifically approved;</w:t>
              <w:br/>
              <w:t>vi) Payment acceleration in any other indebtedness;</w:t>
              <w:br/>
              <w:t>vii) Create or permit any lien on secured assets without consent;</w:t>
              <w:br/>
              <w:t>viii) Carry out any action that would prevent the Company, any member, or their officers from carrying on their business;</w:t>
              <w:br/>
              <w:t>ix) Encumbrance of 50% or more of the Issuer's net worth;</w:t>
              <w:br/>
              <w:t>x) All or a material part of the undertaking, assets, rights or revenues of the Company, shall be expropriated or compulsory acquired;</w:t>
            </w:r>
          </w:p>
        </w:tc>
      </w:tr>
    </w:tbl>
    <w:p/>
    <w:p>
      <w:pPr>
        <w:pStyle w:val="Heading1"/>
      </w:pPr>
      <w:r>
        <w:t>SECTION 20: SHAREHOLDING &amp; MANAGEMENT COVENANTS</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tc>
        <w:tc>
          <w:tcPr>
            <w:tcW w:type="dxa" w:w="5040"/>
            <w:shd w:fill="FFF2CC"/>
          </w:tcPr>
          <w:p>
            <w:pPr>
              <w:spacing w:after="0"/>
              <w:ind w:left="288"/>
            </w:pPr>
            <w:r>
              <w:rPr>
                <w:rFonts w:ascii="Arial" w:hAnsi="Arial"/>
                <w:sz w:val="16"/>
              </w:rPr>
              <w:t>[PROMOTER_NAME - REDACTED] would continue to be on Board of the Issuer;</w:t>
              <w:br/>
              <w:br/>
              <w:t>The promoters collectively not to dilute their shareholding in the company below [SPECIFIED_PERCENTAGE]% till the tenure of the debentures by way of sale of shares, without the prior written consent of the Investor. However, in case there is equity infusion by non-promoter parties, dilution to be acceptable;</w:t>
              <w:br/>
              <w:br/>
              <w:t>Promoters should retain controlling interest in the Company;</w:t>
              <w:br/>
              <w:br/>
              <w:t>Issuer shall obtain prior consent from Debenture Trustee for any change in management control, voting rights and board seats of Promoters;</w:t>
              <w:br/>
              <w:br/>
              <w:t>Promoter shall not create any pledge/negative lien of their shareholding in the Issuer without the prior consent of the Debenture Holders;</w:t>
              <w:br/>
              <w:br/>
              <w:t>Until Final Redemption Date, [PROMOTER_NAME - REDACTED] shall continue to hold an executive position in the Company;</w:t>
              <w:br/>
              <w:br/>
              <w:t>The Promoters of the Issuer shall not transfer or encumber the shares of the Issuer held by them respectively to an extent of greater than [SPECIFIED_PERCENTAGE]% without the prior written consent of the Lender or debenture trustee. Issuer shall procure and furnish the Debenture Trustee with undertaking(s) issued by such Promoters regarding non-disposal of shares except for the Facility. However, in case there is equity infusion by non-promoter parties, dilution to be acceptable;</w:t>
            </w:r>
          </w:p>
        </w:tc>
      </w:tr>
      <w:tr>
        <w:tc>
          <w:tcPr>
            <w:tcW w:type="dxa" w:w="5040"/>
          </w:tcPr>
          <w:p/>
        </w:tc>
        <w:tc>
          <w:tcPr>
            <w:tcW w:type="dxa" w:w="5040"/>
            <w:shd w:fill="E2EFDA"/>
          </w:tcPr>
          <w:p>
            <w:pPr>
              <w:spacing w:after="0"/>
              <w:ind w:left="288"/>
            </w:pPr>
            <w:r>
              <w:rPr>
                <w:rFonts w:ascii="Arial" w:hAnsi="Arial"/>
                <w:sz w:val="16"/>
              </w:rPr>
              <w:t>Management Continuity (Corporate):</w:t>
              <w:br/>
              <w:br/>
              <w:t>Key Management Personnel (KMP) shall not be changed without prior notice to the Debenture Trustee;</w:t>
              <w:br/>
              <w:br/>
              <w:t>The Chief Executive Officer, Chief Financial Officer and Head of Operations shall have a minimum tenure lock-in of [SPECIFIED_PERIOD] years;</w:t>
              <w:br/>
              <w:br/>
              <w:t>Any change in Managing Director or Wholetime Director shall be notified within [SPECIFIED_DAYS] days;</w:t>
              <w:br/>
              <w:br/>
              <w:t>The Issuer shall maintain at least [SPECIFIED_NUMBER] independent directors on the Board;</w:t>
              <w:br/>
              <w:br/>
              <w:t>In case of departure of any KMP, a replacement with equivalent qualifications and experience shall be appointed within [SPECIFIED_DAYS] days;</w:t>
            </w:r>
          </w:p>
        </w:tc>
      </w:tr>
    </w:tbl>
    <w:p/>
    <w:p>
      <w:pPr>
        <w:pStyle w:val="Heading1"/>
      </w:pPr>
      <w:r>
        <w:t>SECTION 21: ADDITIONAL COVENANTS</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tc>
        <w:tc>
          <w:tcPr>
            <w:tcW w:type="dxa" w:w="5040"/>
            <w:shd w:fill="D9D9D9"/>
          </w:tcPr>
          <w:p>
            <w:pPr>
              <w:spacing w:after="0"/>
              <w:ind w:left="288"/>
            </w:pPr>
            <w:r>
              <w:rPr>
                <w:rFonts w:ascii="Arial" w:hAnsi="Arial"/>
                <w:sz w:val="16"/>
              </w:rPr>
              <w:t>If the Issuer avails any other credit facility from any other financial institution, it is guaranteed by the Promoter of the Issuer. The Issuer shall, and the Issuer shall cause such Promoter of the Issuer to provide personal guarantee in favour of the Debenture Trustee to the extent of Outstanding Obligations under this Issue.</w:t>
              <w:br/>
              <w:br/>
              <w:t>In case of material breach of any covenant, the Issuer shall cure such breach within the cure period specified in the Transaction Documents or such other time as may be agreed in writing by the Debenture Trustee.</w:t>
            </w:r>
          </w:p>
        </w:tc>
      </w:tr>
    </w:tbl>
    <w:p/>
    <w:p>
      <w:pPr>
        <w:pStyle w:val="Heading1"/>
      </w:pPr>
      <w:r>
        <w:t>SECTION 22: REPRESENTATIONS &amp; WARRANTIES</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tc>
        <w:tc>
          <w:tcPr>
            <w:tcW w:type="dxa" w:w="5040"/>
            <w:shd w:fill="D9D9D9"/>
          </w:tcPr>
          <w:p>
            <w:pPr>
              <w:spacing w:after="0"/>
              <w:ind w:left="288"/>
            </w:pPr>
            <w:r>
              <w:rPr>
                <w:rFonts w:ascii="Arial" w:hAnsi="Arial"/>
                <w:sz w:val="16"/>
              </w:rPr>
              <w:t>The Issuer represents and warrants that:</w:t>
              <w:br/>
              <w:br/>
              <w:t>i) The Company duly incorporated and is registered with the RBI as an [NBFC / CORPORATION];</w:t>
              <w:br/>
              <w:t>ii) No Event of Default has occurred and is continuing on the date of this transaction;</w:t>
              <w:br/>
              <w:t>iii) The Debentures under this issuance shall rank pari passu amongst themselves and with all other secured, senior creditors/investors/lenders;</w:t>
              <w:br/>
              <w:t>iv) Issuance of the Debenture shall not be in conflict with any other constitutional documents of the Issuer;</w:t>
              <w:br/>
              <w:t>v) No Material Adverse Change in business, condition or operations of the Issuer;</w:t>
              <w:br/>
              <w:t>vi) Company has the power and authority to issue Debentures and can enter into Transaction Documents;</w:t>
              <w:br/>
              <w:t>vii) There are as of the date of execution here of no pending or threatened litigation, investigation or proceedings that may have a material adverse condition;</w:t>
              <w:br/>
              <w:t>viii) Issuance of the Debenture are not illegal or in violation of applicable laws;</w:t>
              <w:br/>
              <w:t>ix) [NBFC: All underlying loan assets are genuine and unencumbered / CORPORATE: All mortgaged properties are unencumbered and free from all liens and charges];</w:t>
              <w:br/>
              <w:t>x) Other conditions as set out in greater detail in the Transaction Documents</w:t>
            </w:r>
          </w:p>
        </w:tc>
      </w:tr>
    </w:tbl>
    <w:p/>
    <w:p>
      <w:pPr>
        <w:pStyle w:val="Heading1"/>
      </w:pPr>
      <w:r>
        <w:t>SECTION 23: INDEMNIFICATION &amp; CONFIDENTIALITY</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pPr>
              <w:spacing w:after="0"/>
            </w:pPr>
            <w:r>
              <w:rPr>
                <w:rFonts w:ascii="Arial" w:hAnsi="Arial"/>
                <w:b/>
                <w:sz w:val="18"/>
              </w:rPr>
              <w:t>Indemnification</w:t>
            </w:r>
          </w:p>
        </w:tc>
        <w:tc>
          <w:tcPr>
            <w:tcW w:type="dxa" w:w="5040"/>
            <w:shd w:fill="D9D9D9"/>
          </w:tcPr>
          <w:p>
            <w:pPr>
              <w:spacing w:after="0"/>
            </w:pPr>
            <w:r>
              <w:rPr>
                <w:rFonts w:ascii="Arial" w:hAnsi="Arial"/>
                <w:sz w:val="18"/>
              </w:rPr>
              <w:t>The Issuer will indemnify, and hold harmless the Debenture Holders from and against any claim, liability, demand, loss, damage, judgment, or other right of action which may arise as a result of breach of this Term Sheet by the Issuer or its Promoter(s)</w:t>
            </w:r>
          </w:p>
        </w:tc>
      </w:tr>
      <w:tr>
        <w:tc>
          <w:tcPr>
            <w:tcW w:type="dxa" w:w="5040"/>
          </w:tcPr>
          <w:p>
            <w:pPr>
              <w:spacing w:after="0"/>
            </w:pPr>
            <w:r>
              <w:rPr>
                <w:rFonts w:ascii="Arial" w:hAnsi="Arial"/>
                <w:b/>
                <w:sz w:val="18"/>
              </w:rPr>
              <w:t>Confidentiality</w:t>
            </w:r>
          </w:p>
        </w:tc>
        <w:tc>
          <w:tcPr>
            <w:tcW w:type="dxa" w:w="5040"/>
            <w:shd w:fill="D9D9D9"/>
          </w:tcPr>
          <w:p>
            <w:pPr>
              <w:spacing w:after="0"/>
            </w:pPr>
            <w:r>
              <w:rPr>
                <w:rFonts w:ascii="Arial" w:hAnsi="Arial"/>
                <w:sz w:val="18"/>
              </w:rPr>
              <w:t>The terms and conditions described in this Term Sheet, including its existence, shall be confidential information and shall not be disclosed to any third party except to advisors and as required by law</w:t>
            </w:r>
          </w:p>
        </w:tc>
      </w:tr>
    </w:tbl>
    <w:p/>
    <w:p>
      <w:pPr>
        <w:pStyle w:val="Heading1"/>
      </w:pPr>
      <w:r>
        <w:t>SECTION 24: GOVERNING LAW &amp; JURISDICTION</w:t>
      </w:r>
    </w:p>
    <w:tbl>
      <w:tblPr>
        <w:tblStyle w:val="LightGrid-Accent1"/>
        <w:tblW w:type="auto" w:w="0"/>
        <w:tblLook w:firstColumn="1" w:firstRow="1" w:lastColumn="0" w:lastRow="0" w:noHBand="0" w:noVBand="1" w:val="04A0"/>
      </w:tblPr>
      <w:tblGrid>
        <w:gridCol w:w="5040"/>
        <w:gridCol w:w="5040"/>
      </w:tblGrid>
      <w:tr>
        <w:tc>
          <w:tcPr>
            <w:tcW w:type="dxa" w:w="3168"/>
          </w:tcPr>
          <w:p/>
        </w:tc>
        <w:tc>
          <w:tcPr>
            <w:tcW w:type="dxa" w:w="5472"/>
          </w:tcPr>
          <w:p/>
        </w:tc>
      </w:tr>
      <w:tr>
        <w:tc>
          <w:tcPr>
            <w:tcW w:type="dxa" w:w="5040"/>
          </w:tcPr>
          <w:p>
            <w:pPr>
              <w:spacing w:after="0"/>
            </w:pPr>
            <w:r>
              <w:rPr>
                <w:rFonts w:ascii="Arial" w:hAnsi="Arial"/>
                <w:b/>
                <w:sz w:val="18"/>
              </w:rPr>
              <w:t>Governing Law &amp; Jurisdiction</w:t>
            </w:r>
          </w:p>
        </w:tc>
        <w:tc>
          <w:tcPr>
            <w:tcW w:type="dxa" w:w="5040"/>
            <w:shd w:fill="D9D9D9"/>
          </w:tcPr>
          <w:p>
            <w:pPr>
              <w:spacing w:after="0"/>
            </w:pPr>
            <w:r>
              <w:rPr>
                <w:rFonts w:ascii="Arial" w:hAnsi="Arial"/>
                <w:sz w:val="18"/>
              </w:rPr>
              <w:t>This Term Sheet shall be governed and construed in accordance with the laws of India. All disputes arising herein shall be subject to the jurisdiction of appropriate courts and tribunals of India.</w:t>
            </w:r>
          </w:p>
        </w:tc>
      </w:tr>
    </w:tbl>
    <w:p/>
    <w:p>
      <w:pPr>
        <w:jc w:val="center"/>
      </w:pPr>
      <w:r>
        <w:rPr>
          <w:rFonts w:ascii="Arial" w:hAnsi="Arial"/>
          <w:b/>
          <w:i/>
          <w:sz w:val="14"/>
        </w:rPr>
        <w:t>COLOR LEGEND:</w:t>
        <w:br/>
        <w:t>🟨 YELLOW = NBFC-SPECIFIC (e.g., Floating charge DOH, PAR ratios, Gold loan eligibility, 1.1x SCR)</w:t>
        <w:br/>
        <w:t>🟩 GREEN = CORPORATE-SPECIFIC (e.g., Mortgage on immovables, DSCR covenant, Asset valuations)</w:t>
        <w:br/>
        <w:t>⬜ GRAY = APPLICABLE TO BOTH NBFC &amp; CORPORATE</w:t>
        <w:br/>
        <w:br/>
        <w:t>IMPORTANT REDACTIONS: All individual promoter/director names have been redacted as [PROMOTER_NAME - REDACTED]</w:t>
        <w:br/>
        <w:t>All placeholders marked with [BRACKETS] require specific values and customization</w:t>
        <w:br/>
        <w:t>This is a comprehensive template - customize sections as per actual transaction requirements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