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360"/>
      </w:tblGrid>
      <w:tr w:rsidR="00935624" w14:paraId="62E2D545" w14:textId="77777777">
        <w:trPr>
          <w:jc w:val="center"/>
        </w:trPr>
        <w:tc>
          <w:tcPr>
            <w:tcW w:w="9360" w:type="dxa"/>
            <w:tcBorders>
              <w:top w:val="single" w:sz="4" w:space="0" w:color="A31C1D"/>
              <w:left w:val="single" w:sz="4" w:space="0" w:color="A31C1D"/>
              <w:bottom w:val="single" w:sz="4" w:space="0" w:color="A31C1D"/>
              <w:right w:val="single" w:sz="4" w:space="0" w:color="A31C1D"/>
            </w:tcBorders>
            <w:shd w:val="clear" w:color="auto" w:fill="A31C1D"/>
            <w:tcMar>
              <w:top w:w="140" w:type="dxa"/>
              <w:left w:w="200" w:type="dxa"/>
              <w:bottom w:w="140" w:type="dxa"/>
              <w:right w:w="200" w:type="dxa"/>
            </w:tcMar>
          </w:tcPr>
          <w:p w14:paraId="226E095A" w14:textId="77777777" w:rsidR="00935624" w:rsidRDefault="00000000">
            <w:pPr>
              <w:spacing w:after="40"/>
              <w:jc w:val="center"/>
            </w:pPr>
            <w:r>
              <w:rPr>
                <w:rFonts w:ascii="Arial" w:hAnsi="Arial"/>
                <w:b/>
                <w:color w:val="FFFFFF"/>
                <w:sz w:val="32"/>
              </w:rPr>
              <w:t>Koneru Lakshmaiah Education Foundation</w:t>
            </w:r>
          </w:p>
          <w:p w14:paraId="726992D7" w14:textId="77777777" w:rsidR="00935624" w:rsidRDefault="00000000">
            <w:pPr>
              <w:spacing w:after="40"/>
              <w:jc w:val="center"/>
            </w:pPr>
            <w:r>
              <w:rPr>
                <w:rFonts w:ascii="Arial" w:hAnsi="Arial"/>
                <w:i/>
                <w:color w:val="FFF0F0"/>
                <w:sz w:val="19"/>
              </w:rPr>
              <w:t xml:space="preserve">(Deemed to be University </w:t>
            </w:r>
            <w:proofErr w:type="spellStart"/>
            <w:r>
              <w:rPr>
                <w:rFonts w:ascii="Arial" w:hAnsi="Arial"/>
                <w:i/>
                <w:color w:val="FFF0F0"/>
                <w:sz w:val="19"/>
              </w:rPr>
              <w:t>estd</w:t>
            </w:r>
            <w:proofErr w:type="spellEnd"/>
            <w:r>
              <w:rPr>
                <w:rFonts w:ascii="Arial" w:hAnsi="Arial"/>
                <w:i/>
                <w:color w:val="FFF0F0"/>
                <w:sz w:val="19"/>
              </w:rPr>
              <w:t>. u/s. 3 of the UGC Act, 1956)</w:t>
            </w:r>
          </w:p>
          <w:p w14:paraId="57333771" w14:textId="77777777" w:rsidR="00935624" w:rsidRDefault="00000000">
            <w:pPr>
              <w:spacing w:after="0"/>
              <w:jc w:val="center"/>
            </w:pPr>
            <w:r>
              <w:rPr>
                <w:rFonts w:ascii="Arial" w:hAnsi="Arial"/>
                <w:color w:val="FFFFFF"/>
                <w:sz w:val="17"/>
              </w:rPr>
              <w:t xml:space="preserve">Off-Campus: Bachupally-Gandimaisamma Road, </w:t>
            </w:r>
            <w:proofErr w:type="spellStart"/>
            <w:r>
              <w:rPr>
                <w:rFonts w:ascii="Arial" w:hAnsi="Arial"/>
                <w:color w:val="FFFFFF"/>
                <w:sz w:val="17"/>
              </w:rPr>
              <w:t>Bowrampet</w:t>
            </w:r>
            <w:proofErr w:type="spellEnd"/>
            <w:r>
              <w:rPr>
                <w:rFonts w:ascii="Arial" w:hAnsi="Arial"/>
                <w:color w:val="FFFFFF"/>
                <w:sz w:val="17"/>
              </w:rPr>
              <w:t>, Hyderabad, Telangana - 500 043.</w:t>
            </w:r>
            <w:r>
              <w:rPr>
                <w:rFonts w:ascii="Arial" w:hAnsi="Arial"/>
                <w:color w:val="FFFFFF"/>
                <w:sz w:val="17"/>
              </w:rPr>
              <w:br/>
              <w:t>Phone No: 7815926816, www.klh.edu.in</w:t>
            </w:r>
          </w:p>
        </w:tc>
      </w:tr>
    </w:tbl>
    <w:p w14:paraId="331CB57F" w14:textId="77777777" w:rsidR="00935624" w:rsidRDefault="00000000">
      <w:pPr>
        <w:spacing w:before="240" w:after="40"/>
        <w:jc w:val="center"/>
      </w:pPr>
      <w:r>
        <w:rPr>
          <w:rFonts w:ascii="Arial" w:hAnsi="Arial"/>
          <w:b/>
          <w:color w:val="A31C1D"/>
          <w:sz w:val="23"/>
        </w:rPr>
        <w:t>DEPARTMENT OF COMPUTER SCIENCE &amp; ENGINEERING</w:t>
      </w:r>
    </w:p>
    <w:p w14:paraId="6F6BA585" w14:textId="77777777" w:rsidR="00935624" w:rsidRDefault="00000000">
      <w:pPr>
        <w:jc w:val="center"/>
      </w:pPr>
      <w:r>
        <w:rPr>
          <w:rFonts w:ascii="Arial" w:hAnsi="Arial"/>
          <w:b/>
          <w:color w:val="323232"/>
          <w:sz w:val="19"/>
        </w:rPr>
        <w:t>PROJECT ABSTRACT SUBMISSION</w:t>
      </w:r>
      <w:r>
        <w:rPr>
          <w:rFonts w:ascii="Arial" w:hAnsi="Arial"/>
          <w:b/>
          <w:color w:val="323232"/>
          <w:sz w:val="19"/>
        </w:rPr>
        <w:br/>
        <w:t>COURSE: ENGINEERING CAPSTONE PROJECT – 1 (23IE4053R/23IE4053A) | A.Y. 2026 - 2027</w:t>
      </w:r>
    </w:p>
    <w:tbl>
      <w:tblPr>
        <w:tblW w:w="0" w:type="auto"/>
        <w:jc w:val="center"/>
        <w:tblLayout w:type="fixed"/>
        <w:tblLook w:val="04A0" w:firstRow="1" w:lastRow="0" w:firstColumn="1" w:lastColumn="0" w:noHBand="0" w:noVBand="1"/>
      </w:tblPr>
      <w:tblGrid>
        <w:gridCol w:w="1152"/>
        <w:gridCol w:w="3168"/>
        <w:gridCol w:w="5040"/>
      </w:tblGrid>
      <w:tr w:rsidR="00935624" w14:paraId="688A2571" w14:textId="77777777">
        <w:trPr>
          <w:jc w:val="center"/>
        </w:trPr>
        <w:tc>
          <w:tcPr>
            <w:tcW w:w="9360" w:type="dxa"/>
            <w:gridSpan w:val="3"/>
            <w:tcBorders>
              <w:top w:val="single" w:sz="4" w:space="0" w:color="B0B0B0"/>
              <w:left w:val="single" w:sz="4" w:space="0" w:color="B0B0B0"/>
              <w:bottom w:val="single" w:sz="4" w:space="0" w:color="B0B0B0"/>
              <w:right w:val="single" w:sz="4" w:space="0" w:color="B0B0B0"/>
            </w:tcBorders>
            <w:shd w:val="clear" w:color="auto" w:fill="F4F4F4"/>
            <w:tcMar>
              <w:top w:w="100" w:type="dxa"/>
              <w:left w:w="150" w:type="dxa"/>
              <w:bottom w:w="100" w:type="dxa"/>
              <w:right w:w="150" w:type="dxa"/>
            </w:tcMar>
          </w:tcPr>
          <w:p w14:paraId="0FB9DE19" w14:textId="77777777" w:rsidR="00935624" w:rsidRDefault="00000000">
            <w:pPr>
              <w:spacing w:after="0"/>
            </w:pPr>
            <w:r>
              <w:rPr>
                <w:rFonts w:ascii="Arial" w:hAnsi="Arial"/>
                <w:b/>
                <w:sz w:val="20"/>
              </w:rPr>
              <w:t xml:space="preserve">TITLE OF THE PROJECT: </w:t>
            </w:r>
            <w:r>
              <w:rPr>
                <w:rFonts w:ascii="Arial" w:hAnsi="Arial"/>
                <w:b/>
                <w:color w:val="A31C1D"/>
                <w:sz w:val="20"/>
              </w:rPr>
              <w:t>Smart Business Analytics Dashboard Using Python and Power BI</w:t>
            </w:r>
          </w:p>
        </w:tc>
      </w:tr>
      <w:tr w:rsidR="00935624" w14:paraId="3E6497E9" w14:textId="77777777">
        <w:trPr>
          <w:jc w:val="center"/>
        </w:trPr>
        <w:tc>
          <w:tcPr>
            <w:tcW w:w="1152" w:type="dxa"/>
            <w:tcBorders>
              <w:top w:val="single" w:sz="4" w:space="0" w:color="A31C1D"/>
              <w:left w:val="single" w:sz="4" w:space="0" w:color="A31C1D"/>
              <w:bottom w:val="single" w:sz="4" w:space="0" w:color="A31C1D"/>
              <w:right w:val="single" w:sz="4" w:space="0" w:color="A31C1D"/>
            </w:tcBorders>
            <w:shd w:val="clear" w:color="auto" w:fill="A31C1D"/>
            <w:tcMar>
              <w:top w:w="80" w:type="dxa"/>
              <w:left w:w="100" w:type="dxa"/>
              <w:bottom w:w="80" w:type="dxa"/>
              <w:right w:w="100" w:type="dxa"/>
            </w:tcMar>
          </w:tcPr>
          <w:p w14:paraId="16CB6161" w14:textId="77777777" w:rsidR="00935624" w:rsidRDefault="00000000">
            <w:pPr>
              <w:spacing w:after="0"/>
              <w:jc w:val="center"/>
            </w:pPr>
            <w:r>
              <w:rPr>
                <w:rFonts w:ascii="Arial" w:hAnsi="Arial"/>
                <w:b/>
                <w:color w:val="FFFFFF"/>
                <w:sz w:val="19"/>
              </w:rPr>
              <w:t>S. No.</w:t>
            </w:r>
          </w:p>
        </w:tc>
        <w:tc>
          <w:tcPr>
            <w:tcW w:w="3168" w:type="dxa"/>
            <w:tcBorders>
              <w:top w:val="single" w:sz="4" w:space="0" w:color="A31C1D"/>
              <w:left w:val="single" w:sz="4" w:space="0" w:color="A31C1D"/>
              <w:bottom w:val="single" w:sz="4" w:space="0" w:color="A31C1D"/>
              <w:right w:val="single" w:sz="4" w:space="0" w:color="A31C1D"/>
            </w:tcBorders>
            <w:shd w:val="clear" w:color="auto" w:fill="A31C1D"/>
            <w:tcMar>
              <w:top w:w="80" w:type="dxa"/>
              <w:left w:w="100" w:type="dxa"/>
              <w:bottom w:w="80" w:type="dxa"/>
              <w:right w:w="100" w:type="dxa"/>
            </w:tcMar>
          </w:tcPr>
          <w:p w14:paraId="13638D59" w14:textId="77777777" w:rsidR="00935624" w:rsidRDefault="00000000">
            <w:pPr>
              <w:spacing w:after="0"/>
              <w:jc w:val="center"/>
            </w:pPr>
            <w:r>
              <w:rPr>
                <w:rFonts w:ascii="Arial" w:hAnsi="Arial"/>
                <w:b/>
                <w:color w:val="FFFFFF"/>
                <w:sz w:val="19"/>
              </w:rPr>
              <w:t>University ID</w:t>
            </w:r>
          </w:p>
        </w:tc>
        <w:tc>
          <w:tcPr>
            <w:tcW w:w="5040" w:type="dxa"/>
            <w:tcBorders>
              <w:top w:val="single" w:sz="4" w:space="0" w:color="A31C1D"/>
              <w:left w:val="single" w:sz="4" w:space="0" w:color="A31C1D"/>
              <w:bottom w:val="single" w:sz="4" w:space="0" w:color="A31C1D"/>
              <w:right w:val="single" w:sz="4" w:space="0" w:color="A31C1D"/>
            </w:tcBorders>
            <w:shd w:val="clear" w:color="auto" w:fill="A31C1D"/>
            <w:tcMar>
              <w:top w:w="80" w:type="dxa"/>
              <w:left w:w="100" w:type="dxa"/>
              <w:bottom w:w="80" w:type="dxa"/>
              <w:right w:w="100" w:type="dxa"/>
            </w:tcMar>
          </w:tcPr>
          <w:p w14:paraId="6D325144" w14:textId="77777777" w:rsidR="00935624" w:rsidRDefault="00000000">
            <w:pPr>
              <w:spacing w:after="0"/>
            </w:pPr>
            <w:r>
              <w:rPr>
                <w:rFonts w:ascii="Arial" w:hAnsi="Arial"/>
                <w:b/>
                <w:color w:val="FFFFFF"/>
                <w:sz w:val="19"/>
              </w:rPr>
              <w:t>Name</w:t>
            </w:r>
          </w:p>
        </w:tc>
      </w:tr>
      <w:tr w:rsidR="00935624" w14:paraId="6E0A93DC" w14:textId="77777777">
        <w:trPr>
          <w:jc w:val="center"/>
        </w:trPr>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3424A960" w14:textId="77777777" w:rsidR="00935624" w:rsidRDefault="00000000">
            <w:pPr>
              <w:spacing w:after="0"/>
              <w:jc w:val="center"/>
            </w:pPr>
            <w:r>
              <w:rPr>
                <w:rFonts w:ascii="Arial" w:hAnsi="Arial"/>
                <w:sz w:val="18"/>
              </w:rPr>
              <w:t>1</w:t>
            </w:r>
          </w:p>
        </w:tc>
        <w:tc>
          <w:tcPr>
            <w:tcW w:w="316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7D8298A5" w14:textId="490BE2CD" w:rsidR="00935624" w:rsidRDefault="00000000">
            <w:pPr>
              <w:spacing w:after="0"/>
              <w:jc w:val="center"/>
            </w:pPr>
            <w:r>
              <w:rPr>
                <w:rFonts w:ascii="Arial" w:hAnsi="Arial"/>
                <w:sz w:val="18"/>
              </w:rPr>
              <w:t>2400030</w:t>
            </w:r>
            <w:r w:rsidR="00DA3B03">
              <w:rPr>
                <w:rFonts w:ascii="Arial" w:hAnsi="Arial"/>
                <w:sz w:val="18"/>
              </w:rPr>
              <w:t>436</w:t>
            </w:r>
          </w:p>
        </w:tc>
        <w:tc>
          <w:tcPr>
            <w:tcW w:w="504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1626EACE" w14:textId="77777777" w:rsidR="00935624" w:rsidRDefault="00000000">
            <w:pPr>
              <w:spacing w:after="0"/>
            </w:pPr>
            <w:r>
              <w:rPr>
                <w:rFonts w:ascii="Arial" w:hAnsi="Arial"/>
                <w:sz w:val="18"/>
              </w:rPr>
              <w:t xml:space="preserve">Vasari </w:t>
            </w:r>
            <w:proofErr w:type="spellStart"/>
            <w:r>
              <w:rPr>
                <w:rFonts w:ascii="Arial" w:hAnsi="Arial"/>
                <w:sz w:val="18"/>
              </w:rPr>
              <w:t>Poojan</w:t>
            </w:r>
            <w:proofErr w:type="spellEnd"/>
            <w:r>
              <w:rPr>
                <w:rFonts w:ascii="Arial" w:hAnsi="Arial"/>
                <w:sz w:val="18"/>
              </w:rPr>
              <w:t xml:space="preserve"> Yadav</w:t>
            </w:r>
          </w:p>
        </w:tc>
      </w:tr>
      <w:tr w:rsidR="00935624" w14:paraId="42DE87CC" w14:textId="77777777">
        <w:trPr>
          <w:jc w:val="center"/>
        </w:trPr>
        <w:tc>
          <w:tcPr>
            <w:tcW w:w="1152" w:type="dxa"/>
            <w:tcBorders>
              <w:top w:val="single" w:sz="4" w:space="0" w:color="D3D3D3"/>
              <w:left w:val="single" w:sz="4" w:space="0" w:color="D3D3D3"/>
              <w:bottom w:val="single" w:sz="4" w:space="0" w:color="D3D3D3"/>
              <w:right w:val="single" w:sz="4" w:space="0" w:color="D3D3D3"/>
            </w:tcBorders>
            <w:shd w:val="clear" w:color="auto" w:fill="F9F9F9"/>
            <w:tcMar>
              <w:top w:w="60" w:type="dxa"/>
              <w:left w:w="100" w:type="dxa"/>
              <w:bottom w:w="60" w:type="dxa"/>
              <w:right w:w="100" w:type="dxa"/>
            </w:tcMar>
          </w:tcPr>
          <w:p w14:paraId="26D75383" w14:textId="77777777" w:rsidR="00935624" w:rsidRDefault="00000000">
            <w:pPr>
              <w:spacing w:after="0"/>
              <w:jc w:val="center"/>
            </w:pPr>
            <w:r>
              <w:rPr>
                <w:rFonts w:ascii="Arial" w:hAnsi="Arial"/>
                <w:sz w:val="18"/>
              </w:rPr>
              <w:t>2</w:t>
            </w:r>
          </w:p>
        </w:tc>
        <w:tc>
          <w:tcPr>
            <w:tcW w:w="3168" w:type="dxa"/>
            <w:tcBorders>
              <w:top w:val="single" w:sz="4" w:space="0" w:color="D3D3D3"/>
              <w:left w:val="single" w:sz="4" w:space="0" w:color="D3D3D3"/>
              <w:bottom w:val="single" w:sz="4" w:space="0" w:color="D3D3D3"/>
              <w:right w:val="single" w:sz="4" w:space="0" w:color="D3D3D3"/>
            </w:tcBorders>
            <w:shd w:val="clear" w:color="auto" w:fill="F9F9F9"/>
            <w:tcMar>
              <w:top w:w="60" w:type="dxa"/>
              <w:left w:w="100" w:type="dxa"/>
              <w:bottom w:w="60" w:type="dxa"/>
              <w:right w:w="100" w:type="dxa"/>
            </w:tcMar>
          </w:tcPr>
          <w:p w14:paraId="2DAB9458" w14:textId="2F4BB04C" w:rsidR="00935624" w:rsidRDefault="00DA3B03">
            <w:pPr>
              <w:spacing w:after="0"/>
              <w:jc w:val="center"/>
            </w:pPr>
            <w:r w:rsidRPr="00535336">
              <w:t>2420030365</w:t>
            </w:r>
          </w:p>
        </w:tc>
        <w:tc>
          <w:tcPr>
            <w:tcW w:w="5040" w:type="dxa"/>
            <w:tcBorders>
              <w:top w:val="single" w:sz="4" w:space="0" w:color="D3D3D3"/>
              <w:left w:val="single" w:sz="4" w:space="0" w:color="D3D3D3"/>
              <w:bottom w:val="single" w:sz="4" w:space="0" w:color="D3D3D3"/>
              <w:right w:val="single" w:sz="4" w:space="0" w:color="D3D3D3"/>
            </w:tcBorders>
            <w:shd w:val="clear" w:color="auto" w:fill="F9F9F9"/>
            <w:tcMar>
              <w:top w:w="60" w:type="dxa"/>
              <w:left w:w="100" w:type="dxa"/>
              <w:bottom w:w="60" w:type="dxa"/>
              <w:right w:w="100" w:type="dxa"/>
            </w:tcMar>
          </w:tcPr>
          <w:p w14:paraId="2A66BFF3" w14:textId="537FCDE6" w:rsidR="00935624" w:rsidRDefault="00DA3B03">
            <w:pPr>
              <w:spacing w:after="0"/>
            </w:pPr>
            <w:r w:rsidRPr="00535336">
              <w:t>Bhanu Prakash</w:t>
            </w:r>
          </w:p>
        </w:tc>
      </w:tr>
      <w:tr w:rsidR="00DA3B03" w14:paraId="3D7B07E5" w14:textId="77777777">
        <w:trPr>
          <w:jc w:val="center"/>
        </w:trPr>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6E0C71A0" w14:textId="77777777" w:rsidR="00DA3B03" w:rsidRDefault="00DA3B03" w:rsidP="00DA3B03">
            <w:pPr>
              <w:spacing w:after="0"/>
              <w:jc w:val="center"/>
            </w:pPr>
            <w:r>
              <w:rPr>
                <w:rFonts w:ascii="Arial" w:hAnsi="Arial"/>
                <w:sz w:val="18"/>
              </w:rPr>
              <w:t>3</w:t>
            </w:r>
          </w:p>
        </w:tc>
        <w:tc>
          <w:tcPr>
            <w:tcW w:w="316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6E700321" w14:textId="606698E8" w:rsidR="00DA3B03" w:rsidRDefault="00DA3B03" w:rsidP="00DA3B03">
            <w:pPr>
              <w:spacing w:after="0"/>
              <w:jc w:val="center"/>
            </w:pPr>
            <w:r w:rsidRPr="00535336">
              <w:t>2420030396</w:t>
            </w:r>
          </w:p>
        </w:tc>
        <w:tc>
          <w:tcPr>
            <w:tcW w:w="504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5A34FA81" w14:textId="6582BED1" w:rsidR="00DA3B03" w:rsidRDefault="00DA3B03" w:rsidP="00DA3B03">
            <w:pPr>
              <w:spacing w:after="0"/>
            </w:pPr>
            <w:proofErr w:type="spellStart"/>
            <w:r w:rsidRPr="00535336">
              <w:t>Prabhuling</w:t>
            </w:r>
            <w:proofErr w:type="spellEnd"/>
          </w:p>
        </w:tc>
      </w:tr>
      <w:tr w:rsidR="00DA3B03" w14:paraId="1BD91114" w14:textId="77777777">
        <w:trPr>
          <w:jc w:val="center"/>
        </w:trPr>
        <w:tc>
          <w:tcPr>
            <w:tcW w:w="1152" w:type="dxa"/>
            <w:tcBorders>
              <w:top w:val="single" w:sz="4" w:space="0" w:color="D3D3D3"/>
              <w:left w:val="single" w:sz="4" w:space="0" w:color="D3D3D3"/>
              <w:bottom w:val="single" w:sz="4" w:space="0" w:color="D3D3D3"/>
              <w:right w:val="single" w:sz="4" w:space="0" w:color="D3D3D3"/>
            </w:tcBorders>
            <w:shd w:val="clear" w:color="auto" w:fill="F9F9F9"/>
            <w:tcMar>
              <w:top w:w="60" w:type="dxa"/>
              <w:left w:w="100" w:type="dxa"/>
              <w:bottom w:w="60" w:type="dxa"/>
              <w:right w:w="100" w:type="dxa"/>
            </w:tcMar>
          </w:tcPr>
          <w:p w14:paraId="33EABEA6" w14:textId="77777777" w:rsidR="00DA3B03" w:rsidRDefault="00DA3B03" w:rsidP="00DA3B03">
            <w:pPr>
              <w:spacing w:after="0"/>
              <w:jc w:val="center"/>
            </w:pPr>
            <w:r>
              <w:rPr>
                <w:rFonts w:ascii="Arial" w:hAnsi="Arial"/>
                <w:sz w:val="18"/>
              </w:rPr>
              <w:t>4</w:t>
            </w:r>
          </w:p>
        </w:tc>
        <w:tc>
          <w:tcPr>
            <w:tcW w:w="3168" w:type="dxa"/>
            <w:tcBorders>
              <w:top w:val="single" w:sz="4" w:space="0" w:color="D3D3D3"/>
              <w:left w:val="single" w:sz="4" w:space="0" w:color="D3D3D3"/>
              <w:bottom w:val="single" w:sz="4" w:space="0" w:color="D3D3D3"/>
              <w:right w:val="single" w:sz="4" w:space="0" w:color="D3D3D3"/>
            </w:tcBorders>
            <w:shd w:val="clear" w:color="auto" w:fill="F9F9F9"/>
            <w:tcMar>
              <w:top w:w="60" w:type="dxa"/>
              <w:left w:w="100" w:type="dxa"/>
              <w:bottom w:w="60" w:type="dxa"/>
              <w:right w:w="100" w:type="dxa"/>
            </w:tcMar>
          </w:tcPr>
          <w:p w14:paraId="4FA0B3B4" w14:textId="271315B3" w:rsidR="00DA3B03" w:rsidRDefault="00DA3B03" w:rsidP="00DA3B03">
            <w:pPr>
              <w:spacing w:after="0"/>
              <w:jc w:val="center"/>
            </w:pPr>
            <w:r w:rsidRPr="00535336">
              <w:t>2420030497</w:t>
            </w:r>
          </w:p>
        </w:tc>
        <w:tc>
          <w:tcPr>
            <w:tcW w:w="5040" w:type="dxa"/>
            <w:tcBorders>
              <w:top w:val="single" w:sz="4" w:space="0" w:color="D3D3D3"/>
              <w:left w:val="single" w:sz="4" w:space="0" w:color="D3D3D3"/>
              <w:bottom w:val="single" w:sz="4" w:space="0" w:color="D3D3D3"/>
              <w:right w:val="single" w:sz="4" w:space="0" w:color="D3D3D3"/>
            </w:tcBorders>
            <w:shd w:val="clear" w:color="auto" w:fill="F9F9F9"/>
            <w:tcMar>
              <w:top w:w="60" w:type="dxa"/>
              <w:left w:w="100" w:type="dxa"/>
              <w:bottom w:w="60" w:type="dxa"/>
              <w:right w:w="100" w:type="dxa"/>
            </w:tcMar>
          </w:tcPr>
          <w:p w14:paraId="631AF294" w14:textId="3E1EAE98" w:rsidR="00DA3B03" w:rsidRDefault="00DA3B03" w:rsidP="00DA3B03">
            <w:pPr>
              <w:spacing w:after="0"/>
            </w:pPr>
            <w:r w:rsidRPr="00535336">
              <w:t>Pavan Teja</w:t>
            </w:r>
          </w:p>
        </w:tc>
      </w:tr>
      <w:tr w:rsidR="00DA3B03" w14:paraId="4DFF1186" w14:textId="77777777">
        <w:trPr>
          <w:jc w:val="center"/>
        </w:trPr>
        <w:tc>
          <w:tcPr>
            <w:tcW w:w="1152" w:type="dxa"/>
            <w:tcBorders>
              <w:top w:val="single" w:sz="4" w:space="0" w:color="D3D3D3"/>
              <w:left w:val="single" w:sz="4" w:space="0" w:color="D3D3D3"/>
              <w:bottom w:val="single" w:sz="4" w:space="0" w:color="D3D3D3"/>
              <w:right w:val="single" w:sz="4" w:space="0" w:color="D3D3D3"/>
            </w:tcBorders>
            <w:shd w:val="clear" w:color="auto" w:fill="F9F9F9"/>
            <w:tcMar>
              <w:top w:w="60" w:type="dxa"/>
              <w:left w:w="100" w:type="dxa"/>
              <w:bottom w:w="60" w:type="dxa"/>
              <w:right w:w="100" w:type="dxa"/>
            </w:tcMar>
          </w:tcPr>
          <w:p w14:paraId="3C498E03" w14:textId="3CDD1998" w:rsidR="00DA3B03" w:rsidRDefault="00DA3B03" w:rsidP="00DA3B03">
            <w:pPr>
              <w:spacing w:after="0"/>
              <w:jc w:val="center"/>
              <w:rPr>
                <w:rFonts w:ascii="Arial" w:hAnsi="Arial"/>
                <w:sz w:val="18"/>
              </w:rPr>
            </w:pPr>
          </w:p>
        </w:tc>
        <w:tc>
          <w:tcPr>
            <w:tcW w:w="3168" w:type="dxa"/>
            <w:tcBorders>
              <w:top w:val="single" w:sz="4" w:space="0" w:color="D3D3D3"/>
              <w:left w:val="single" w:sz="4" w:space="0" w:color="D3D3D3"/>
              <w:bottom w:val="single" w:sz="4" w:space="0" w:color="D3D3D3"/>
              <w:right w:val="single" w:sz="4" w:space="0" w:color="D3D3D3"/>
            </w:tcBorders>
            <w:shd w:val="clear" w:color="auto" w:fill="F9F9F9"/>
            <w:tcMar>
              <w:top w:w="60" w:type="dxa"/>
              <w:left w:w="100" w:type="dxa"/>
              <w:bottom w:w="60" w:type="dxa"/>
              <w:right w:w="100" w:type="dxa"/>
            </w:tcMar>
          </w:tcPr>
          <w:p w14:paraId="6CD9EE17" w14:textId="2B1417AD" w:rsidR="00DA3B03" w:rsidRDefault="00DA3B03" w:rsidP="00DA3B03">
            <w:pPr>
              <w:spacing w:after="0"/>
              <w:jc w:val="center"/>
            </w:pPr>
          </w:p>
        </w:tc>
        <w:tc>
          <w:tcPr>
            <w:tcW w:w="5040" w:type="dxa"/>
            <w:tcBorders>
              <w:top w:val="single" w:sz="4" w:space="0" w:color="D3D3D3"/>
              <w:left w:val="single" w:sz="4" w:space="0" w:color="D3D3D3"/>
              <w:bottom w:val="single" w:sz="4" w:space="0" w:color="D3D3D3"/>
              <w:right w:val="single" w:sz="4" w:space="0" w:color="D3D3D3"/>
            </w:tcBorders>
            <w:shd w:val="clear" w:color="auto" w:fill="F9F9F9"/>
            <w:tcMar>
              <w:top w:w="60" w:type="dxa"/>
              <w:left w:w="100" w:type="dxa"/>
              <w:bottom w:w="60" w:type="dxa"/>
              <w:right w:w="100" w:type="dxa"/>
            </w:tcMar>
          </w:tcPr>
          <w:p w14:paraId="7F8FE2DC" w14:textId="758FDCBC" w:rsidR="00DA3B03" w:rsidRDefault="00DA3B03" w:rsidP="00DA3B03">
            <w:pPr>
              <w:spacing w:after="0"/>
            </w:pPr>
          </w:p>
        </w:tc>
      </w:tr>
      <w:tr w:rsidR="00DA3B03" w14:paraId="12B468A8" w14:textId="77777777">
        <w:trPr>
          <w:jc w:val="center"/>
        </w:trPr>
        <w:tc>
          <w:tcPr>
            <w:tcW w:w="9360" w:type="dxa"/>
            <w:gridSpan w:val="3"/>
            <w:tcBorders>
              <w:top w:val="single" w:sz="4" w:space="0" w:color="B0B0B0"/>
              <w:left w:val="single" w:sz="4" w:space="0" w:color="B0B0B0"/>
              <w:bottom w:val="single" w:sz="4" w:space="0" w:color="B0B0B0"/>
              <w:right w:val="single" w:sz="4" w:space="0" w:color="B0B0B0"/>
            </w:tcBorders>
            <w:shd w:val="clear" w:color="auto" w:fill="FAFAFA"/>
            <w:tcMar>
              <w:top w:w="80" w:type="dxa"/>
              <w:left w:w="150" w:type="dxa"/>
              <w:bottom w:w="80" w:type="dxa"/>
              <w:right w:w="150" w:type="dxa"/>
            </w:tcMar>
          </w:tcPr>
          <w:p w14:paraId="7170E2A9" w14:textId="77777777" w:rsidR="00DA3B03" w:rsidRDefault="00DA3B03" w:rsidP="00DA3B03">
            <w:pPr>
              <w:spacing w:after="0"/>
            </w:pPr>
            <w:r>
              <w:rPr>
                <w:rFonts w:ascii="Arial" w:hAnsi="Arial"/>
                <w:b/>
                <w:sz w:val="19"/>
              </w:rPr>
              <w:t xml:space="preserve">Name of the Guide: </w:t>
            </w:r>
            <w:r>
              <w:rPr>
                <w:rFonts w:ascii="Arial" w:hAnsi="Arial"/>
                <w:color w:val="787878"/>
              </w:rPr>
              <w:t>________________________________________</w:t>
            </w:r>
          </w:p>
        </w:tc>
      </w:tr>
    </w:tbl>
    <w:p w14:paraId="2E1FA0DE" w14:textId="77777777" w:rsidR="00935624" w:rsidRDefault="00000000">
      <w:pPr>
        <w:keepNext/>
        <w:spacing w:before="320" w:after="120"/>
      </w:pPr>
      <w:r>
        <w:rPr>
          <w:rFonts w:ascii="Arial" w:hAnsi="Arial"/>
          <w:b/>
          <w:color w:val="A31C1D"/>
          <w:sz w:val="26"/>
        </w:rPr>
        <w:t>1. EXECUTIVE ABSTRACT &amp; OVERVIEW</w:t>
      </w:r>
    </w:p>
    <w:p w14:paraId="0E6B2218" w14:textId="77777777" w:rsidR="00935624" w:rsidRDefault="00000000">
      <w:pPr>
        <w:spacing w:after="120"/>
      </w:pPr>
      <w:r>
        <w:rPr>
          <w:rFonts w:ascii="Arial" w:hAnsi="Arial"/>
          <w:color w:val="282828"/>
          <w:sz w:val="21"/>
        </w:rPr>
        <w:t>Modern enterprise environments produce immense quantities of operational, financial, and customer data across fragmented software platforms, including ERP systems, transactional databases, and CRM cloud suites. While traditional Business Intelligence (BI) platforms offer structured visualization capabilities, they predominantly operate on historical data, yielding backward-looking descriptive summaries. Consequently, organizational leaders are left without automated, predictive, or prescriptive mechanisms to address dynamic business challenges such as customer churn, supply chain disruptions, and operational anomalies.</w:t>
      </w:r>
    </w:p>
    <w:p w14:paraId="3F07A419" w14:textId="77777777" w:rsidR="00935624" w:rsidRDefault="00000000">
      <w:pPr>
        <w:spacing w:after="120"/>
      </w:pPr>
      <w:r>
        <w:rPr>
          <w:rFonts w:ascii="Arial" w:hAnsi="Arial"/>
          <w:color w:val="282828"/>
          <w:sz w:val="21"/>
        </w:rPr>
        <w:t>This capstone project presents an end-to-end Smart Business Analytics Dashboard architecture that seamlessly integrates Python's advanced machine learning capabilities with Power BI's interactive visualization framework. By orchestrating automated Extract-Transform-Load (ETL) routines, predictive statistical modeling, relational database synchronization, and star-schema data modeling, the platform bridges the divide between complex data science algorithms and executive decision-making tools.</w:t>
      </w:r>
    </w:p>
    <w:p w14:paraId="232F2176" w14:textId="77777777" w:rsidR="00935624" w:rsidRDefault="00000000">
      <w:pPr>
        <w:keepNext/>
        <w:spacing w:before="320" w:after="120"/>
      </w:pPr>
      <w:r>
        <w:rPr>
          <w:rFonts w:ascii="Arial" w:hAnsi="Arial"/>
          <w:b/>
          <w:color w:val="A31C1D"/>
          <w:sz w:val="26"/>
        </w:rPr>
        <w:t>2. PROBLEM STATEMENT &amp; MOTIVATION</w:t>
      </w:r>
    </w:p>
    <w:p w14:paraId="62235F31" w14:textId="77777777" w:rsidR="00935624" w:rsidRDefault="00000000">
      <w:pPr>
        <w:spacing w:after="120"/>
      </w:pPr>
      <w:r>
        <w:rPr>
          <w:rFonts w:ascii="Arial" w:hAnsi="Arial"/>
          <w:b/>
          <w:color w:val="1E1E1E"/>
          <w:sz w:val="21"/>
        </w:rPr>
        <w:t xml:space="preserve">Core Challenges: </w:t>
      </w:r>
      <w:r>
        <w:rPr>
          <w:rFonts w:ascii="Arial" w:hAnsi="Arial"/>
          <w:color w:val="282828"/>
          <w:sz w:val="21"/>
        </w:rPr>
        <w:t>Contemporary business intelligence implementations face four primary operational bottlenecks:</w:t>
      </w:r>
    </w:p>
    <w:p w14:paraId="0207C4E7" w14:textId="77777777" w:rsidR="00935624" w:rsidRDefault="00000000">
      <w:pPr>
        <w:spacing w:after="120"/>
      </w:pPr>
      <w:r>
        <w:rPr>
          <w:rFonts w:ascii="Arial" w:hAnsi="Arial"/>
          <w:b/>
          <w:color w:val="1E1E1E"/>
          <w:sz w:val="21"/>
        </w:rPr>
        <w:lastRenderedPageBreak/>
        <w:t xml:space="preserve">• Static &amp; Backward-Looking Analytics: </w:t>
      </w:r>
      <w:r>
        <w:rPr>
          <w:rFonts w:ascii="Arial" w:hAnsi="Arial"/>
          <w:color w:val="282828"/>
          <w:sz w:val="21"/>
        </w:rPr>
        <w:t>Standard BI implementations rely heavily on historical aggregations (what happened), failing to provide forward-looking predictive metrics (what will happen) or prescriptive guidance (what action to take).</w:t>
      </w:r>
    </w:p>
    <w:p w14:paraId="7F198D2F" w14:textId="77777777" w:rsidR="00935624" w:rsidRDefault="00000000">
      <w:pPr>
        <w:spacing w:after="120"/>
      </w:pPr>
      <w:r>
        <w:rPr>
          <w:rFonts w:ascii="Arial" w:hAnsi="Arial"/>
          <w:b/>
          <w:color w:val="1E1E1E"/>
          <w:sz w:val="21"/>
        </w:rPr>
        <w:t xml:space="preserve">• Pipeline Fragility &amp; Scalability Limits: </w:t>
      </w:r>
      <w:r>
        <w:rPr>
          <w:rFonts w:ascii="Arial" w:hAnsi="Arial"/>
          <w:color w:val="282828"/>
          <w:sz w:val="21"/>
        </w:rPr>
        <w:t>Manual spreadsheet operations and unoptimized relational queries struggle with high-volume enterprise data, introducing high error rates and processing latency.</w:t>
      </w:r>
    </w:p>
    <w:p w14:paraId="124A37EB" w14:textId="77777777" w:rsidR="00935624" w:rsidRDefault="00000000">
      <w:pPr>
        <w:spacing w:after="120"/>
      </w:pPr>
      <w:r>
        <w:rPr>
          <w:rFonts w:ascii="Arial" w:hAnsi="Arial"/>
          <w:b/>
          <w:color w:val="1E1E1E"/>
          <w:sz w:val="21"/>
        </w:rPr>
        <w:t xml:space="preserve">• Advanced Analytics Constraints: </w:t>
      </w:r>
      <w:r>
        <w:rPr>
          <w:rFonts w:ascii="Arial" w:hAnsi="Arial"/>
          <w:color w:val="282828"/>
          <w:sz w:val="21"/>
        </w:rPr>
        <w:t>Out-of-the-box Power BI visuals lack embedded machine learning capabilities, preventing dynamic forecasting, non-linear regression, or automated sentiment classification without backend code orchestration.</w:t>
      </w:r>
    </w:p>
    <w:p w14:paraId="444FF5E2" w14:textId="77777777" w:rsidR="00935624" w:rsidRDefault="00000000">
      <w:pPr>
        <w:spacing w:after="120"/>
      </w:pPr>
      <w:r>
        <w:rPr>
          <w:rFonts w:ascii="Arial" w:hAnsi="Arial"/>
          <w:b/>
          <w:color w:val="1E1E1E"/>
          <w:sz w:val="21"/>
        </w:rPr>
        <w:t xml:space="preserve">• Unidirectional Data Flow: </w:t>
      </w:r>
      <w:r>
        <w:rPr>
          <w:rFonts w:ascii="Arial" w:hAnsi="Arial"/>
          <w:color w:val="282828"/>
          <w:sz w:val="21"/>
        </w:rPr>
        <w:t>Most commercial ML implementations rely on static batch CSV exports, causing time-lagged, stale insights within executive reporting dashboards.</w:t>
      </w:r>
    </w:p>
    <w:p w14:paraId="5E04BDDA" w14:textId="11AC4D65" w:rsidR="00935624" w:rsidRDefault="00000000" w:rsidP="00DA3B03">
      <w:r>
        <w:rPr>
          <w:rFonts w:ascii="Arial" w:hAnsi="Arial"/>
          <w:b/>
          <w:color w:val="A31C1D"/>
          <w:sz w:val="26"/>
        </w:rPr>
        <w:t>3. PROJECT OBJECTIVES &amp; SCOPE</w:t>
      </w:r>
    </w:p>
    <w:p w14:paraId="76F44C3A" w14:textId="77777777" w:rsidR="00935624" w:rsidRDefault="00000000">
      <w:pPr>
        <w:spacing w:after="120"/>
      </w:pPr>
      <w:r>
        <w:rPr>
          <w:rFonts w:ascii="Arial" w:hAnsi="Arial"/>
          <w:color w:val="282828"/>
          <w:sz w:val="21"/>
        </w:rPr>
        <w:t>The project aims to engineer a fully functional, automated analytics environment with the following explicit objectives:</w:t>
      </w:r>
    </w:p>
    <w:p w14:paraId="151D4CD3" w14:textId="77777777" w:rsidR="00935624" w:rsidRDefault="00000000">
      <w:pPr>
        <w:spacing w:after="120"/>
      </w:pPr>
      <w:r>
        <w:rPr>
          <w:rFonts w:ascii="Arial" w:hAnsi="Arial"/>
          <w:b/>
          <w:color w:val="1E1E1E"/>
          <w:sz w:val="21"/>
        </w:rPr>
        <w:t xml:space="preserve">1. Automated Data Pipeline Development: </w:t>
      </w:r>
      <w:r>
        <w:rPr>
          <w:rFonts w:ascii="Arial" w:hAnsi="Arial"/>
          <w:color w:val="282828"/>
          <w:sz w:val="21"/>
        </w:rPr>
        <w:t xml:space="preserve">Develop Python scripts using Pandas and </w:t>
      </w:r>
      <w:proofErr w:type="spellStart"/>
      <w:r>
        <w:rPr>
          <w:rFonts w:ascii="Arial" w:hAnsi="Arial"/>
          <w:color w:val="282828"/>
          <w:sz w:val="21"/>
        </w:rPr>
        <w:t>SQLAlchemy</w:t>
      </w:r>
      <w:proofErr w:type="spellEnd"/>
      <w:r>
        <w:rPr>
          <w:rFonts w:ascii="Arial" w:hAnsi="Arial"/>
          <w:color w:val="282828"/>
          <w:sz w:val="21"/>
        </w:rPr>
        <w:t xml:space="preserve"> to ingest, clean, normalize, and validate multi-source enterprise data, storing transformed staging tables into a centralized relational database.</w:t>
      </w:r>
    </w:p>
    <w:p w14:paraId="201908F4" w14:textId="77777777" w:rsidR="00935624" w:rsidRDefault="00000000">
      <w:pPr>
        <w:spacing w:after="120"/>
      </w:pPr>
      <w:r>
        <w:rPr>
          <w:rFonts w:ascii="Arial" w:hAnsi="Arial"/>
          <w:b/>
          <w:color w:val="1E1E1E"/>
          <w:sz w:val="21"/>
        </w:rPr>
        <w:t xml:space="preserve">2. Predictive Machine Learning Engine: </w:t>
      </w:r>
      <w:r>
        <w:rPr>
          <w:rFonts w:ascii="Arial" w:hAnsi="Arial"/>
          <w:color w:val="282828"/>
          <w:sz w:val="21"/>
        </w:rPr>
        <w:t xml:space="preserve">Implement and fine-tune </w:t>
      </w:r>
      <w:proofErr w:type="spellStart"/>
      <w:r>
        <w:rPr>
          <w:rFonts w:ascii="Arial" w:hAnsi="Arial"/>
          <w:color w:val="282828"/>
          <w:sz w:val="21"/>
        </w:rPr>
        <w:t>XGBoost</w:t>
      </w:r>
      <w:proofErr w:type="spellEnd"/>
      <w:r>
        <w:rPr>
          <w:rFonts w:ascii="Arial" w:hAnsi="Arial"/>
          <w:color w:val="282828"/>
          <w:sz w:val="21"/>
        </w:rPr>
        <w:t xml:space="preserve"> and Facebook Prophet algorithms for time-series sales forecasting, customer churn scoring, and anomaly detection.</w:t>
      </w:r>
    </w:p>
    <w:p w14:paraId="7B794B5C" w14:textId="77777777" w:rsidR="00935624" w:rsidRDefault="00000000">
      <w:pPr>
        <w:spacing w:after="120"/>
      </w:pPr>
      <w:r>
        <w:rPr>
          <w:rFonts w:ascii="Arial" w:hAnsi="Arial"/>
          <w:b/>
          <w:color w:val="1E1E1E"/>
          <w:sz w:val="21"/>
        </w:rPr>
        <w:t xml:space="preserve">3. Relational Data Modeling &amp; DAX Authoring: </w:t>
      </w:r>
      <w:r>
        <w:rPr>
          <w:rFonts w:ascii="Arial" w:hAnsi="Arial"/>
          <w:color w:val="282828"/>
          <w:sz w:val="21"/>
        </w:rPr>
        <w:t>Design a Star Schema data model within Power BI featuring optimized relationships, dynamic DAX measures (Time Intelligence, Running Totals, Dynamic Ratios), and Row-Level Security (RLS).</w:t>
      </w:r>
    </w:p>
    <w:p w14:paraId="774CF6A3" w14:textId="77777777" w:rsidR="00935624" w:rsidRDefault="00000000">
      <w:pPr>
        <w:spacing w:after="120"/>
      </w:pPr>
      <w:r>
        <w:rPr>
          <w:rFonts w:ascii="Arial" w:hAnsi="Arial"/>
          <w:b/>
          <w:color w:val="1E1E1E"/>
          <w:sz w:val="21"/>
        </w:rPr>
        <w:t xml:space="preserve">4. Executive Visualization &amp; UX Design: </w:t>
      </w:r>
      <w:r>
        <w:rPr>
          <w:rFonts w:ascii="Arial" w:hAnsi="Arial"/>
          <w:color w:val="282828"/>
          <w:sz w:val="21"/>
        </w:rPr>
        <w:t>Build role-based, highly interactive executive dashboards featuring dynamic parameter slicers, custom drill-through pathways, and automated visual alert indicators.</w:t>
      </w:r>
    </w:p>
    <w:p w14:paraId="5E9ED2E9" w14:textId="77777777" w:rsidR="00935624" w:rsidRDefault="00000000">
      <w:pPr>
        <w:keepNext/>
        <w:spacing w:before="320" w:after="120"/>
      </w:pPr>
      <w:r>
        <w:rPr>
          <w:rFonts w:ascii="Arial" w:hAnsi="Arial"/>
          <w:b/>
          <w:color w:val="A31C1D"/>
          <w:sz w:val="26"/>
        </w:rPr>
        <w:t>4. METHODOLOGY &amp; TECHNICAL ARCHITECTURE</w:t>
      </w:r>
    </w:p>
    <w:p w14:paraId="0E0E0CB0" w14:textId="77777777" w:rsidR="00935624" w:rsidRDefault="00000000">
      <w:pPr>
        <w:spacing w:after="120"/>
      </w:pPr>
      <w:r>
        <w:rPr>
          <w:rFonts w:ascii="Arial" w:hAnsi="Arial"/>
          <w:color w:val="282828"/>
          <w:sz w:val="21"/>
        </w:rPr>
        <w:t>The system architecture follows a 4-tier decoupled pipeline design ensuring high scalability, data integrity, and low rendering latency:</w:t>
      </w:r>
    </w:p>
    <w:tbl>
      <w:tblPr>
        <w:tblW w:w="0" w:type="auto"/>
        <w:jc w:val="center"/>
        <w:tblLayout w:type="fixed"/>
        <w:tblLook w:val="04A0" w:firstRow="1" w:lastRow="0" w:firstColumn="1" w:lastColumn="0" w:noHBand="0" w:noVBand="1"/>
      </w:tblPr>
      <w:tblGrid>
        <w:gridCol w:w="2160"/>
        <w:gridCol w:w="2880"/>
        <w:gridCol w:w="4320"/>
      </w:tblGrid>
      <w:tr w:rsidR="00935624" w14:paraId="500DD513" w14:textId="77777777">
        <w:trPr>
          <w:jc w:val="center"/>
        </w:trPr>
        <w:tc>
          <w:tcPr>
            <w:tcW w:w="2160" w:type="dxa"/>
            <w:tcBorders>
              <w:top w:val="single" w:sz="4" w:space="0" w:color="A31C1D"/>
              <w:left w:val="single" w:sz="4" w:space="0" w:color="A31C1D"/>
              <w:bottom w:val="single" w:sz="4" w:space="0" w:color="A31C1D"/>
              <w:right w:val="single" w:sz="4" w:space="0" w:color="A31C1D"/>
            </w:tcBorders>
            <w:shd w:val="clear" w:color="auto" w:fill="A31C1D"/>
            <w:tcMar>
              <w:top w:w="80" w:type="dxa"/>
              <w:left w:w="100" w:type="dxa"/>
              <w:bottom w:w="80" w:type="dxa"/>
              <w:right w:w="100" w:type="dxa"/>
            </w:tcMar>
          </w:tcPr>
          <w:p w14:paraId="4C097FD2" w14:textId="77777777" w:rsidR="00935624" w:rsidRDefault="00000000">
            <w:r>
              <w:rPr>
                <w:rFonts w:ascii="Arial" w:hAnsi="Arial"/>
                <w:b/>
                <w:color w:val="FFFFFF"/>
                <w:sz w:val="19"/>
              </w:rPr>
              <w:t>Tier Layer</w:t>
            </w:r>
          </w:p>
        </w:tc>
        <w:tc>
          <w:tcPr>
            <w:tcW w:w="2880" w:type="dxa"/>
            <w:tcBorders>
              <w:top w:val="single" w:sz="4" w:space="0" w:color="A31C1D"/>
              <w:left w:val="single" w:sz="4" w:space="0" w:color="A31C1D"/>
              <w:bottom w:val="single" w:sz="4" w:space="0" w:color="A31C1D"/>
              <w:right w:val="single" w:sz="4" w:space="0" w:color="A31C1D"/>
            </w:tcBorders>
            <w:shd w:val="clear" w:color="auto" w:fill="A31C1D"/>
            <w:tcMar>
              <w:top w:w="80" w:type="dxa"/>
              <w:left w:w="100" w:type="dxa"/>
              <w:bottom w:w="80" w:type="dxa"/>
              <w:right w:w="100" w:type="dxa"/>
            </w:tcMar>
          </w:tcPr>
          <w:p w14:paraId="23798ADC" w14:textId="77777777" w:rsidR="00935624" w:rsidRDefault="00000000">
            <w:r>
              <w:rPr>
                <w:rFonts w:ascii="Arial" w:hAnsi="Arial"/>
                <w:b/>
                <w:color w:val="FFFFFF"/>
                <w:sz w:val="19"/>
              </w:rPr>
              <w:t>Technology Stack</w:t>
            </w:r>
          </w:p>
        </w:tc>
        <w:tc>
          <w:tcPr>
            <w:tcW w:w="4320" w:type="dxa"/>
            <w:tcBorders>
              <w:top w:val="single" w:sz="4" w:space="0" w:color="A31C1D"/>
              <w:left w:val="single" w:sz="4" w:space="0" w:color="A31C1D"/>
              <w:bottom w:val="single" w:sz="4" w:space="0" w:color="A31C1D"/>
              <w:right w:val="single" w:sz="4" w:space="0" w:color="A31C1D"/>
            </w:tcBorders>
            <w:shd w:val="clear" w:color="auto" w:fill="A31C1D"/>
            <w:tcMar>
              <w:top w:w="80" w:type="dxa"/>
              <w:left w:w="100" w:type="dxa"/>
              <w:bottom w:w="80" w:type="dxa"/>
              <w:right w:w="100" w:type="dxa"/>
            </w:tcMar>
          </w:tcPr>
          <w:p w14:paraId="08D0DF29" w14:textId="77777777" w:rsidR="00935624" w:rsidRDefault="00000000">
            <w:r>
              <w:rPr>
                <w:rFonts w:ascii="Arial" w:hAnsi="Arial"/>
                <w:b/>
                <w:color w:val="FFFFFF"/>
                <w:sz w:val="19"/>
              </w:rPr>
              <w:t>Functional Responsibility</w:t>
            </w:r>
          </w:p>
        </w:tc>
      </w:tr>
      <w:tr w:rsidR="00935624" w14:paraId="6580F542"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3DB4280C" w14:textId="77777777" w:rsidR="00935624" w:rsidRDefault="00000000">
            <w:r>
              <w:rPr>
                <w:rFonts w:ascii="Arial" w:hAnsi="Arial"/>
                <w:sz w:val="18"/>
              </w:rPr>
              <w:t>Tier 1: Data Ingestion &amp; ETL</w:t>
            </w:r>
          </w:p>
        </w:tc>
        <w:tc>
          <w:tcPr>
            <w:tcW w:w="288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43712EA6" w14:textId="77777777" w:rsidR="00935624" w:rsidRDefault="00000000">
            <w:r>
              <w:rPr>
                <w:rFonts w:ascii="Arial" w:hAnsi="Arial"/>
                <w:sz w:val="18"/>
              </w:rPr>
              <w:t xml:space="preserve">Python (Pandas, </w:t>
            </w:r>
            <w:proofErr w:type="spellStart"/>
            <w:r>
              <w:rPr>
                <w:rFonts w:ascii="Arial" w:hAnsi="Arial"/>
                <w:sz w:val="18"/>
              </w:rPr>
              <w:t>SQLAlchemy</w:t>
            </w:r>
            <w:proofErr w:type="spellEnd"/>
            <w:r>
              <w:rPr>
                <w:rFonts w:ascii="Arial" w:hAnsi="Arial"/>
                <w:sz w:val="18"/>
              </w:rPr>
              <w:t xml:space="preserve">, </w:t>
            </w:r>
            <w:proofErr w:type="spellStart"/>
            <w:r>
              <w:rPr>
                <w:rFonts w:ascii="Arial" w:hAnsi="Arial"/>
                <w:sz w:val="18"/>
              </w:rPr>
              <w:t>PyYAML</w:t>
            </w:r>
            <w:proofErr w:type="spellEnd"/>
            <w:r>
              <w:rPr>
                <w:rFonts w:ascii="Arial" w:hAnsi="Arial"/>
                <w:sz w:val="18"/>
              </w:rPr>
              <w:t>)</w:t>
            </w:r>
          </w:p>
        </w:tc>
        <w:tc>
          <w:tcPr>
            <w:tcW w:w="432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68176B6C" w14:textId="77777777" w:rsidR="00935624" w:rsidRDefault="00000000">
            <w:r>
              <w:rPr>
                <w:rFonts w:ascii="Arial" w:hAnsi="Arial"/>
                <w:sz w:val="18"/>
              </w:rPr>
              <w:t>Automated extraction, missing value handling, outlier detection, and database loading.</w:t>
            </w:r>
          </w:p>
        </w:tc>
      </w:tr>
      <w:tr w:rsidR="00935624" w14:paraId="3E657C27"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9F9F9"/>
            <w:tcMar>
              <w:top w:w="60" w:type="dxa"/>
              <w:left w:w="100" w:type="dxa"/>
              <w:bottom w:w="60" w:type="dxa"/>
              <w:right w:w="100" w:type="dxa"/>
            </w:tcMar>
          </w:tcPr>
          <w:p w14:paraId="1F4DDBD1" w14:textId="77777777" w:rsidR="00935624" w:rsidRDefault="00000000">
            <w:r>
              <w:rPr>
                <w:rFonts w:ascii="Arial" w:hAnsi="Arial"/>
                <w:sz w:val="18"/>
              </w:rPr>
              <w:t>Tier 2: Machine Learning Engine</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60" w:type="dxa"/>
              <w:left w:w="100" w:type="dxa"/>
              <w:bottom w:w="60" w:type="dxa"/>
              <w:right w:w="100" w:type="dxa"/>
            </w:tcMar>
          </w:tcPr>
          <w:p w14:paraId="08F6978D" w14:textId="77777777" w:rsidR="00935624" w:rsidRDefault="00000000">
            <w:r>
              <w:rPr>
                <w:rFonts w:ascii="Arial" w:hAnsi="Arial"/>
                <w:sz w:val="18"/>
              </w:rPr>
              <w:t xml:space="preserve">Python (Scikit-Learn, </w:t>
            </w:r>
            <w:proofErr w:type="spellStart"/>
            <w:r>
              <w:rPr>
                <w:rFonts w:ascii="Arial" w:hAnsi="Arial"/>
                <w:sz w:val="18"/>
              </w:rPr>
              <w:t>XGBoost</w:t>
            </w:r>
            <w:proofErr w:type="spellEnd"/>
            <w:r>
              <w:rPr>
                <w:rFonts w:ascii="Arial" w:hAnsi="Arial"/>
                <w:sz w:val="18"/>
              </w:rPr>
              <w:t>, Prophet)</w:t>
            </w:r>
          </w:p>
        </w:tc>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60" w:type="dxa"/>
              <w:left w:w="100" w:type="dxa"/>
              <w:bottom w:w="60" w:type="dxa"/>
              <w:right w:w="100" w:type="dxa"/>
            </w:tcMar>
          </w:tcPr>
          <w:p w14:paraId="7720BFA8" w14:textId="77777777" w:rsidR="00935624" w:rsidRDefault="00000000">
            <w:r>
              <w:rPr>
                <w:rFonts w:ascii="Arial" w:hAnsi="Arial"/>
                <w:sz w:val="18"/>
              </w:rPr>
              <w:t>Feature engineering, model training, cross-validation, and predictive scoring.</w:t>
            </w:r>
          </w:p>
        </w:tc>
      </w:tr>
      <w:tr w:rsidR="00935624" w14:paraId="46B20CFE"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5658C234" w14:textId="77777777" w:rsidR="00935624" w:rsidRDefault="00000000">
            <w:r>
              <w:rPr>
                <w:rFonts w:ascii="Arial" w:hAnsi="Arial"/>
                <w:sz w:val="18"/>
              </w:rPr>
              <w:t>Tier 3: Relational Storage</w:t>
            </w:r>
          </w:p>
        </w:tc>
        <w:tc>
          <w:tcPr>
            <w:tcW w:w="288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261F1D28" w14:textId="77777777" w:rsidR="00935624" w:rsidRDefault="00000000">
            <w:r>
              <w:rPr>
                <w:rFonts w:ascii="Arial" w:hAnsi="Arial"/>
                <w:sz w:val="18"/>
              </w:rPr>
              <w:t>PostgreSQL / Azure SQL Database</w:t>
            </w:r>
          </w:p>
        </w:tc>
        <w:tc>
          <w:tcPr>
            <w:tcW w:w="4320"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12AE6053" w14:textId="77777777" w:rsidR="00935624" w:rsidRDefault="00000000">
            <w:r>
              <w:rPr>
                <w:rFonts w:ascii="Arial" w:hAnsi="Arial"/>
                <w:sz w:val="18"/>
              </w:rPr>
              <w:t>Centralized data warehouse storing dimensional tables, fact tables, and prediction outputs.</w:t>
            </w:r>
          </w:p>
        </w:tc>
      </w:tr>
      <w:tr w:rsidR="00935624" w14:paraId="10483558"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9F9F9"/>
            <w:tcMar>
              <w:top w:w="60" w:type="dxa"/>
              <w:left w:w="100" w:type="dxa"/>
              <w:bottom w:w="60" w:type="dxa"/>
              <w:right w:w="100" w:type="dxa"/>
            </w:tcMar>
          </w:tcPr>
          <w:p w14:paraId="37A958FF" w14:textId="77777777" w:rsidR="00935624" w:rsidRDefault="00000000">
            <w:r>
              <w:rPr>
                <w:rFonts w:ascii="Arial" w:hAnsi="Arial"/>
                <w:sz w:val="18"/>
              </w:rPr>
              <w:lastRenderedPageBreak/>
              <w:t>Tier 4: Business Intelligence</w:t>
            </w:r>
          </w:p>
        </w:tc>
        <w:tc>
          <w:tcPr>
            <w:tcW w:w="2880" w:type="dxa"/>
            <w:tcBorders>
              <w:top w:val="single" w:sz="4" w:space="0" w:color="D3D3D3"/>
              <w:left w:val="single" w:sz="4" w:space="0" w:color="D3D3D3"/>
              <w:bottom w:val="single" w:sz="4" w:space="0" w:color="D3D3D3"/>
              <w:right w:val="single" w:sz="4" w:space="0" w:color="D3D3D3"/>
            </w:tcBorders>
            <w:shd w:val="clear" w:color="auto" w:fill="F9F9F9"/>
            <w:tcMar>
              <w:top w:w="60" w:type="dxa"/>
              <w:left w:w="100" w:type="dxa"/>
              <w:bottom w:w="60" w:type="dxa"/>
              <w:right w:w="100" w:type="dxa"/>
            </w:tcMar>
          </w:tcPr>
          <w:p w14:paraId="76C7F79D" w14:textId="77777777" w:rsidR="00935624" w:rsidRDefault="00000000">
            <w:r>
              <w:rPr>
                <w:rFonts w:ascii="Arial" w:hAnsi="Arial"/>
                <w:sz w:val="18"/>
              </w:rPr>
              <w:t>Power BI Desktop / Service, DAX</w:t>
            </w:r>
          </w:p>
        </w:tc>
        <w:tc>
          <w:tcPr>
            <w:tcW w:w="4320" w:type="dxa"/>
            <w:tcBorders>
              <w:top w:val="single" w:sz="4" w:space="0" w:color="D3D3D3"/>
              <w:left w:val="single" w:sz="4" w:space="0" w:color="D3D3D3"/>
              <w:bottom w:val="single" w:sz="4" w:space="0" w:color="D3D3D3"/>
              <w:right w:val="single" w:sz="4" w:space="0" w:color="D3D3D3"/>
            </w:tcBorders>
            <w:shd w:val="clear" w:color="auto" w:fill="F9F9F9"/>
            <w:tcMar>
              <w:top w:w="60" w:type="dxa"/>
              <w:left w:w="100" w:type="dxa"/>
              <w:bottom w:w="60" w:type="dxa"/>
              <w:right w:w="100" w:type="dxa"/>
            </w:tcMar>
          </w:tcPr>
          <w:p w14:paraId="70733F16" w14:textId="77777777" w:rsidR="00935624" w:rsidRDefault="00000000">
            <w:r>
              <w:rPr>
                <w:rFonts w:ascii="Arial" w:hAnsi="Arial"/>
                <w:sz w:val="18"/>
              </w:rPr>
              <w:t>Star-schema modeling, DAX aggregations, interactive dashboards, and cloud deployment.</w:t>
            </w:r>
          </w:p>
        </w:tc>
      </w:tr>
    </w:tbl>
    <w:p w14:paraId="3D33184E" w14:textId="77777777" w:rsidR="00935624" w:rsidRDefault="00000000">
      <w:pPr>
        <w:keepNext/>
        <w:spacing w:before="240" w:after="80"/>
      </w:pPr>
      <w:r>
        <w:rPr>
          <w:rFonts w:ascii="Arial" w:hAnsi="Arial"/>
          <w:b/>
          <w:color w:val="323232"/>
          <w:sz w:val="23"/>
        </w:rPr>
        <w:t>4.1 Machine Learning Execution Workflow</w:t>
      </w:r>
    </w:p>
    <w:p w14:paraId="6C385009" w14:textId="77777777" w:rsidR="00935624" w:rsidRDefault="00000000">
      <w:pPr>
        <w:spacing w:after="120"/>
      </w:pPr>
      <w:r>
        <w:rPr>
          <w:rFonts w:ascii="Arial" w:hAnsi="Arial"/>
          <w:color w:val="282828"/>
          <w:sz w:val="21"/>
        </w:rPr>
        <w:t xml:space="preserve">Sales forecasting utilizes Facebook Prophet to capture complex seasonality, holiday impacts, and long-term trend changes. Concurrently, customer churn prediction leverages an </w:t>
      </w:r>
      <w:proofErr w:type="spellStart"/>
      <w:r>
        <w:rPr>
          <w:rFonts w:ascii="Arial" w:hAnsi="Arial"/>
          <w:color w:val="282828"/>
          <w:sz w:val="21"/>
        </w:rPr>
        <w:t>XGBoost</w:t>
      </w:r>
      <w:proofErr w:type="spellEnd"/>
      <w:r>
        <w:rPr>
          <w:rFonts w:ascii="Arial" w:hAnsi="Arial"/>
          <w:color w:val="282828"/>
          <w:sz w:val="21"/>
        </w:rPr>
        <w:t xml:space="preserve"> Classifier trained on historical customer behavioral features (order frequency, recency, support ticket counts, monetary spend). Model evaluation criteria mandate an R² score &gt; 0.88 for time-series predictions and an F1-Score &gt; 0.85 for churn classification before outputs are pushed to the database.</w:t>
      </w:r>
    </w:p>
    <w:p w14:paraId="4851410E" w14:textId="1FD5E21F" w:rsidR="00935624" w:rsidRDefault="00000000" w:rsidP="00DA3B03">
      <w:r>
        <w:rPr>
          <w:rFonts w:ascii="Arial" w:hAnsi="Arial"/>
          <w:b/>
          <w:color w:val="A31C1D"/>
          <w:sz w:val="26"/>
        </w:rPr>
        <w:t>5. INNOVATION &amp; KEY CONTRIBUTIONS</w:t>
      </w:r>
    </w:p>
    <w:p w14:paraId="703983DC" w14:textId="77777777" w:rsidR="00935624" w:rsidRDefault="00000000">
      <w:pPr>
        <w:spacing w:after="120"/>
      </w:pPr>
      <w:r>
        <w:rPr>
          <w:rFonts w:ascii="Arial" w:hAnsi="Arial"/>
          <w:color w:val="282828"/>
          <w:sz w:val="21"/>
        </w:rPr>
        <w:t>This project introduces several significant technical innovations compared to standard commercial report implementations:</w:t>
      </w:r>
    </w:p>
    <w:p w14:paraId="69847D97" w14:textId="77777777" w:rsidR="00935624" w:rsidRDefault="00000000">
      <w:pPr>
        <w:spacing w:after="120"/>
      </w:pPr>
      <w:r>
        <w:rPr>
          <w:rFonts w:ascii="Arial" w:hAnsi="Arial"/>
          <w:b/>
          <w:color w:val="1E1E1E"/>
          <w:sz w:val="21"/>
        </w:rPr>
        <w:t xml:space="preserve">1. Decoupled Hybrid Architecture: </w:t>
      </w:r>
      <w:r>
        <w:rPr>
          <w:rFonts w:ascii="Arial" w:hAnsi="Arial"/>
          <w:color w:val="282828"/>
          <w:sz w:val="21"/>
        </w:rPr>
        <w:t>Heavy computational tasks, statistical feature extraction, and predictive modeling run asynchronously in Python, keeping the Power BI dataset lightweight and fast-rendering.</w:t>
      </w:r>
    </w:p>
    <w:p w14:paraId="1AD2EEA3" w14:textId="77777777" w:rsidR="00935624" w:rsidRDefault="00000000">
      <w:pPr>
        <w:spacing w:after="120"/>
      </w:pPr>
      <w:r>
        <w:rPr>
          <w:rFonts w:ascii="Arial" w:hAnsi="Arial"/>
          <w:b/>
          <w:color w:val="1E1E1E"/>
          <w:sz w:val="21"/>
        </w:rPr>
        <w:t xml:space="preserve">2. Interactive Scenario Modeling: </w:t>
      </w:r>
      <w:r>
        <w:rPr>
          <w:rFonts w:ascii="Arial" w:hAnsi="Arial"/>
          <w:color w:val="282828"/>
          <w:sz w:val="21"/>
        </w:rPr>
        <w:t>Incorporates what-if parameters within Power BI, allowing business stakeholders to simulate pricing adjustments, marketing expenditure changes, or churn intervention strategies in real time.</w:t>
      </w:r>
    </w:p>
    <w:p w14:paraId="2919A275" w14:textId="77777777" w:rsidR="00935624" w:rsidRDefault="00000000">
      <w:pPr>
        <w:spacing w:after="120"/>
      </w:pPr>
      <w:r>
        <w:rPr>
          <w:rFonts w:ascii="Arial" w:hAnsi="Arial"/>
          <w:b/>
          <w:color w:val="1E1E1E"/>
          <w:sz w:val="21"/>
        </w:rPr>
        <w:t xml:space="preserve">3. Automated Anomaly Variance Tracking: </w:t>
      </w:r>
      <w:r>
        <w:rPr>
          <w:rFonts w:ascii="Arial" w:hAnsi="Arial"/>
          <w:color w:val="282828"/>
          <w:sz w:val="21"/>
        </w:rPr>
        <w:t>Custom DAX measures dynamically track variance between projected Python model forecasts and actual real-time sales transactions, triggering visual highlight banners when deviations exceed tolerance thresholds.</w:t>
      </w:r>
    </w:p>
    <w:p w14:paraId="577A21AB" w14:textId="77777777" w:rsidR="00935624" w:rsidRDefault="00000000">
      <w:pPr>
        <w:keepNext/>
        <w:spacing w:before="320" w:after="120"/>
      </w:pPr>
      <w:r>
        <w:rPr>
          <w:rFonts w:ascii="Arial" w:hAnsi="Arial"/>
          <w:b/>
          <w:color w:val="A31C1D"/>
          <w:sz w:val="26"/>
        </w:rPr>
        <w:t>6. FEASIBILITY ANALYSIS &amp; IMPLEMENTATION ROADMAP</w:t>
      </w:r>
    </w:p>
    <w:p w14:paraId="036A7BAF" w14:textId="77777777" w:rsidR="00935624" w:rsidRDefault="00000000">
      <w:pPr>
        <w:spacing w:after="120"/>
      </w:pPr>
      <w:r>
        <w:rPr>
          <w:rFonts w:ascii="Arial" w:hAnsi="Arial"/>
          <w:color w:val="282828"/>
          <w:sz w:val="21"/>
        </w:rPr>
        <w:t>The project feasibility was systematically evaluated across technical, operational, and financial dimensions:</w:t>
      </w:r>
    </w:p>
    <w:p w14:paraId="2717A4E5" w14:textId="77777777" w:rsidR="00935624" w:rsidRDefault="00000000">
      <w:pPr>
        <w:spacing w:after="120"/>
      </w:pPr>
      <w:r>
        <w:rPr>
          <w:rFonts w:ascii="Arial" w:hAnsi="Arial"/>
          <w:b/>
          <w:color w:val="1E1E1E"/>
          <w:sz w:val="21"/>
        </w:rPr>
        <w:t xml:space="preserve">• Technical Feasibility: </w:t>
      </w:r>
      <w:r>
        <w:rPr>
          <w:rFonts w:ascii="Arial" w:hAnsi="Arial"/>
          <w:color w:val="282828"/>
          <w:sz w:val="21"/>
        </w:rPr>
        <w:t>Leverages standard, robust Python libraries and native Power BI database connectors, eliminating software integration barriers.</w:t>
      </w:r>
    </w:p>
    <w:p w14:paraId="511DA122" w14:textId="77777777" w:rsidR="00935624" w:rsidRDefault="00000000">
      <w:pPr>
        <w:spacing w:after="120"/>
      </w:pPr>
      <w:r>
        <w:rPr>
          <w:rFonts w:ascii="Arial" w:hAnsi="Arial"/>
          <w:b/>
          <w:color w:val="1E1E1E"/>
          <w:sz w:val="21"/>
        </w:rPr>
        <w:t xml:space="preserve">• Operational Feasibility: </w:t>
      </w:r>
      <w:r>
        <w:rPr>
          <w:rFonts w:ascii="Arial" w:hAnsi="Arial"/>
          <w:color w:val="282828"/>
          <w:sz w:val="21"/>
        </w:rPr>
        <w:t>Designed with intuitive visual hierarchies and automated drill-down paths, requiring minimal technical training for end-users.</w:t>
      </w:r>
    </w:p>
    <w:p w14:paraId="78BB7B2D" w14:textId="77777777" w:rsidR="00935624" w:rsidRDefault="00000000">
      <w:pPr>
        <w:spacing w:after="120"/>
      </w:pPr>
      <w:r>
        <w:rPr>
          <w:rFonts w:ascii="Arial" w:hAnsi="Arial"/>
          <w:b/>
          <w:color w:val="1E1E1E"/>
          <w:sz w:val="21"/>
        </w:rPr>
        <w:t xml:space="preserve">• Financial Feasibility: </w:t>
      </w:r>
      <w:r>
        <w:rPr>
          <w:rFonts w:ascii="Arial" w:hAnsi="Arial"/>
          <w:color w:val="282828"/>
          <w:sz w:val="21"/>
        </w:rPr>
        <w:t>Built entirely on open-source Python frameworks and standard institutional/enterprise Power BI licenses, minimizing cost overhead.</w:t>
      </w:r>
    </w:p>
    <w:p w14:paraId="4B7167C8" w14:textId="77777777" w:rsidR="00935624" w:rsidRDefault="00000000">
      <w:pPr>
        <w:keepNext/>
        <w:spacing w:before="240" w:after="80"/>
      </w:pPr>
      <w:r>
        <w:rPr>
          <w:rFonts w:ascii="Arial" w:hAnsi="Arial"/>
          <w:b/>
          <w:color w:val="323232"/>
          <w:sz w:val="23"/>
        </w:rPr>
        <w:t>6.1 Implementation Roadmap (12-Week Capstone Schedule)</w:t>
      </w:r>
    </w:p>
    <w:tbl>
      <w:tblPr>
        <w:tblW w:w="0" w:type="auto"/>
        <w:jc w:val="center"/>
        <w:tblLayout w:type="fixed"/>
        <w:tblLook w:val="04A0" w:firstRow="1" w:lastRow="0" w:firstColumn="1" w:lastColumn="0" w:noHBand="0" w:noVBand="1"/>
      </w:tblPr>
      <w:tblGrid>
        <w:gridCol w:w="2592"/>
        <w:gridCol w:w="6768"/>
      </w:tblGrid>
      <w:tr w:rsidR="00935624" w14:paraId="32CA3B86" w14:textId="77777777">
        <w:trPr>
          <w:jc w:val="center"/>
        </w:trPr>
        <w:tc>
          <w:tcPr>
            <w:tcW w:w="2592" w:type="dxa"/>
            <w:tcBorders>
              <w:top w:val="single" w:sz="4" w:space="0" w:color="A31C1D"/>
              <w:left w:val="single" w:sz="4" w:space="0" w:color="A31C1D"/>
              <w:bottom w:val="single" w:sz="4" w:space="0" w:color="A31C1D"/>
              <w:right w:val="single" w:sz="4" w:space="0" w:color="A31C1D"/>
            </w:tcBorders>
            <w:shd w:val="clear" w:color="auto" w:fill="A31C1D"/>
            <w:tcMar>
              <w:top w:w="80" w:type="dxa"/>
              <w:left w:w="100" w:type="dxa"/>
              <w:bottom w:w="80" w:type="dxa"/>
              <w:right w:w="100" w:type="dxa"/>
            </w:tcMar>
          </w:tcPr>
          <w:p w14:paraId="58A73600" w14:textId="77777777" w:rsidR="00935624" w:rsidRDefault="00000000">
            <w:r>
              <w:rPr>
                <w:rFonts w:ascii="Arial" w:hAnsi="Arial"/>
                <w:b/>
                <w:color w:val="FFFFFF"/>
                <w:sz w:val="19"/>
              </w:rPr>
              <w:t>Timeline Phase</w:t>
            </w:r>
          </w:p>
        </w:tc>
        <w:tc>
          <w:tcPr>
            <w:tcW w:w="6768" w:type="dxa"/>
            <w:tcBorders>
              <w:top w:val="single" w:sz="4" w:space="0" w:color="A31C1D"/>
              <w:left w:val="single" w:sz="4" w:space="0" w:color="A31C1D"/>
              <w:bottom w:val="single" w:sz="4" w:space="0" w:color="A31C1D"/>
              <w:right w:val="single" w:sz="4" w:space="0" w:color="A31C1D"/>
            </w:tcBorders>
            <w:shd w:val="clear" w:color="auto" w:fill="A31C1D"/>
            <w:tcMar>
              <w:top w:w="80" w:type="dxa"/>
              <w:left w:w="100" w:type="dxa"/>
              <w:bottom w:w="80" w:type="dxa"/>
              <w:right w:w="100" w:type="dxa"/>
            </w:tcMar>
          </w:tcPr>
          <w:p w14:paraId="21CF8FBE" w14:textId="77777777" w:rsidR="00935624" w:rsidRDefault="00000000">
            <w:r>
              <w:rPr>
                <w:rFonts w:ascii="Arial" w:hAnsi="Arial"/>
                <w:b/>
                <w:color w:val="FFFFFF"/>
                <w:sz w:val="19"/>
              </w:rPr>
              <w:t>Milestones &amp; Key Deliverables</w:t>
            </w:r>
          </w:p>
        </w:tc>
      </w:tr>
      <w:tr w:rsidR="00935624" w14:paraId="04B904F0"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135A52CF" w14:textId="77777777" w:rsidR="00935624" w:rsidRDefault="00000000">
            <w:r>
              <w:rPr>
                <w:rFonts w:ascii="Arial" w:hAnsi="Arial"/>
                <w:sz w:val="18"/>
              </w:rPr>
              <w:t>Weeks 1–3</w:t>
            </w:r>
          </w:p>
        </w:tc>
        <w:tc>
          <w:tcPr>
            <w:tcW w:w="676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0B277B7C" w14:textId="77777777" w:rsidR="00935624" w:rsidRDefault="00000000">
            <w:r>
              <w:rPr>
                <w:rFonts w:ascii="Arial" w:hAnsi="Arial"/>
                <w:sz w:val="18"/>
              </w:rPr>
              <w:t>Requirements analysis, Star Schema relational architecture design, data source mapping, and database setup.</w:t>
            </w:r>
          </w:p>
        </w:tc>
      </w:tr>
      <w:tr w:rsidR="00935624" w14:paraId="08F8D584"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9F9F9"/>
            <w:tcMar>
              <w:top w:w="60" w:type="dxa"/>
              <w:left w:w="100" w:type="dxa"/>
              <w:bottom w:w="60" w:type="dxa"/>
              <w:right w:w="100" w:type="dxa"/>
            </w:tcMar>
          </w:tcPr>
          <w:p w14:paraId="48FF2A34" w14:textId="77777777" w:rsidR="00935624" w:rsidRDefault="00000000">
            <w:r>
              <w:rPr>
                <w:rFonts w:ascii="Arial" w:hAnsi="Arial"/>
                <w:sz w:val="18"/>
              </w:rPr>
              <w:t>Weeks 4–6</w:t>
            </w:r>
          </w:p>
        </w:tc>
        <w:tc>
          <w:tcPr>
            <w:tcW w:w="6768" w:type="dxa"/>
            <w:tcBorders>
              <w:top w:val="single" w:sz="4" w:space="0" w:color="D3D3D3"/>
              <w:left w:val="single" w:sz="4" w:space="0" w:color="D3D3D3"/>
              <w:bottom w:val="single" w:sz="4" w:space="0" w:color="D3D3D3"/>
              <w:right w:val="single" w:sz="4" w:space="0" w:color="D3D3D3"/>
            </w:tcBorders>
            <w:shd w:val="clear" w:color="auto" w:fill="F9F9F9"/>
            <w:tcMar>
              <w:top w:w="60" w:type="dxa"/>
              <w:left w:w="100" w:type="dxa"/>
              <w:bottom w:w="60" w:type="dxa"/>
              <w:right w:w="100" w:type="dxa"/>
            </w:tcMar>
          </w:tcPr>
          <w:p w14:paraId="0002DD85" w14:textId="77777777" w:rsidR="00935624" w:rsidRDefault="00000000">
            <w:r>
              <w:rPr>
                <w:rFonts w:ascii="Arial" w:hAnsi="Arial"/>
                <w:sz w:val="18"/>
              </w:rPr>
              <w:t>Python ETL pipeline creation, data validation rules, Prophet/</w:t>
            </w:r>
            <w:proofErr w:type="spellStart"/>
            <w:r>
              <w:rPr>
                <w:rFonts w:ascii="Arial" w:hAnsi="Arial"/>
                <w:sz w:val="18"/>
              </w:rPr>
              <w:t>XGBoost</w:t>
            </w:r>
            <w:proofErr w:type="spellEnd"/>
            <w:r>
              <w:rPr>
                <w:rFonts w:ascii="Arial" w:hAnsi="Arial"/>
                <w:sz w:val="18"/>
              </w:rPr>
              <w:t xml:space="preserve"> model </w:t>
            </w:r>
            <w:r>
              <w:rPr>
                <w:rFonts w:ascii="Arial" w:hAnsi="Arial"/>
                <w:sz w:val="18"/>
              </w:rPr>
              <w:lastRenderedPageBreak/>
              <w:t>training, and database integration.</w:t>
            </w:r>
          </w:p>
        </w:tc>
      </w:tr>
      <w:tr w:rsidR="00935624" w14:paraId="5D332417"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4D23E426" w14:textId="77777777" w:rsidR="00935624" w:rsidRDefault="00000000">
            <w:r>
              <w:rPr>
                <w:rFonts w:ascii="Arial" w:hAnsi="Arial"/>
                <w:sz w:val="18"/>
              </w:rPr>
              <w:lastRenderedPageBreak/>
              <w:t>Weeks 7–9</w:t>
            </w:r>
          </w:p>
        </w:tc>
        <w:tc>
          <w:tcPr>
            <w:tcW w:w="6768" w:type="dxa"/>
            <w:tcBorders>
              <w:top w:val="single" w:sz="4" w:space="0" w:color="D3D3D3"/>
              <w:left w:val="single" w:sz="4" w:space="0" w:color="D3D3D3"/>
              <w:bottom w:val="single" w:sz="4" w:space="0" w:color="D3D3D3"/>
              <w:right w:val="single" w:sz="4" w:space="0" w:color="D3D3D3"/>
            </w:tcBorders>
            <w:shd w:val="clear" w:color="auto" w:fill="FFFFFF"/>
            <w:tcMar>
              <w:top w:w="60" w:type="dxa"/>
              <w:left w:w="100" w:type="dxa"/>
              <w:bottom w:w="60" w:type="dxa"/>
              <w:right w:w="100" w:type="dxa"/>
            </w:tcMar>
          </w:tcPr>
          <w:p w14:paraId="74F45A25" w14:textId="77777777" w:rsidR="00935624" w:rsidRDefault="00000000">
            <w:r>
              <w:rPr>
                <w:rFonts w:ascii="Arial" w:hAnsi="Arial"/>
                <w:sz w:val="18"/>
              </w:rPr>
              <w:t>Power BI data model establishment, complex DAX measure authoring, and interactive dashboard UI/UX construction.</w:t>
            </w:r>
          </w:p>
        </w:tc>
      </w:tr>
      <w:tr w:rsidR="00935624" w14:paraId="333B5676"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9F9F9"/>
            <w:tcMar>
              <w:top w:w="60" w:type="dxa"/>
              <w:left w:w="100" w:type="dxa"/>
              <w:bottom w:w="60" w:type="dxa"/>
              <w:right w:w="100" w:type="dxa"/>
            </w:tcMar>
          </w:tcPr>
          <w:p w14:paraId="0DFC80DE" w14:textId="77777777" w:rsidR="00935624" w:rsidRDefault="00000000">
            <w:r>
              <w:rPr>
                <w:rFonts w:ascii="Arial" w:hAnsi="Arial"/>
                <w:sz w:val="18"/>
              </w:rPr>
              <w:t>Weeks 10–12</w:t>
            </w:r>
          </w:p>
        </w:tc>
        <w:tc>
          <w:tcPr>
            <w:tcW w:w="6768" w:type="dxa"/>
            <w:tcBorders>
              <w:top w:val="single" w:sz="4" w:space="0" w:color="D3D3D3"/>
              <w:left w:val="single" w:sz="4" w:space="0" w:color="D3D3D3"/>
              <w:bottom w:val="single" w:sz="4" w:space="0" w:color="D3D3D3"/>
              <w:right w:val="single" w:sz="4" w:space="0" w:color="D3D3D3"/>
            </w:tcBorders>
            <w:shd w:val="clear" w:color="auto" w:fill="F9F9F9"/>
            <w:tcMar>
              <w:top w:w="60" w:type="dxa"/>
              <w:left w:w="100" w:type="dxa"/>
              <w:bottom w:w="60" w:type="dxa"/>
              <w:right w:w="100" w:type="dxa"/>
            </w:tcMar>
          </w:tcPr>
          <w:p w14:paraId="2AE87774" w14:textId="77777777" w:rsidR="00935624" w:rsidRDefault="00000000">
            <w:r>
              <w:rPr>
                <w:rFonts w:ascii="Arial" w:hAnsi="Arial"/>
                <w:sz w:val="18"/>
              </w:rPr>
              <w:t>Row-Level Security (RLS) configuration, Power BI Service deployment, automated scheduled refresh, and UAT.</w:t>
            </w:r>
          </w:p>
        </w:tc>
      </w:tr>
    </w:tbl>
    <w:p w14:paraId="0670C4FD" w14:textId="77777777" w:rsidR="00935624" w:rsidRDefault="00000000">
      <w:pPr>
        <w:keepNext/>
        <w:spacing w:before="320" w:after="120"/>
      </w:pPr>
      <w:r>
        <w:rPr>
          <w:rFonts w:ascii="Arial" w:hAnsi="Arial"/>
          <w:b/>
          <w:color w:val="A31C1D"/>
          <w:sz w:val="26"/>
        </w:rPr>
        <w:t>7. CONCLUSION &amp; EXPECTED OUTCOMES</w:t>
      </w:r>
    </w:p>
    <w:p w14:paraId="2F41C267" w14:textId="77777777" w:rsidR="00935624" w:rsidRDefault="00000000">
      <w:pPr>
        <w:spacing w:after="120"/>
      </w:pPr>
      <w:r>
        <w:rPr>
          <w:rFonts w:ascii="Arial" w:hAnsi="Arial"/>
          <w:color w:val="282828"/>
          <w:sz w:val="21"/>
        </w:rPr>
        <w:t>The Smart Business Analytics Dashboard project demonstrates a modern approach to business intelligence. By augmenting Power BI reports with automated Python predictive intelligence, the platform enables organizations to transition from passive historical reporting to proactive strategic forecasting, significantly reducing decision latency and enhancing operational performance.</w:t>
      </w:r>
    </w:p>
    <w:tbl>
      <w:tblPr>
        <w:tblW w:w="0" w:type="auto"/>
        <w:jc w:val="center"/>
        <w:tblLayout w:type="fixed"/>
        <w:tblLook w:val="04A0" w:firstRow="1" w:lastRow="0" w:firstColumn="1" w:lastColumn="0" w:noHBand="0" w:noVBand="1"/>
      </w:tblPr>
      <w:tblGrid>
        <w:gridCol w:w="4680"/>
        <w:gridCol w:w="4680"/>
      </w:tblGrid>
      <w:tr w:rsidR="00935624" w14:paraId="530601FB" w14:textId="77777777">
        <w:trPr>
          <w:jc w:val="center"/>
        </w:trPr>
        <w:tc>
          <w:tcPr>
            <w:tcW w:w="4680" w:type="dxa"/>
          </w:tcPr>
          <w:p w14:paraId="08CBAE81" w14:textId="77777777" w:rsidR="00935624" w:rsidRDefault="00000000">
            <w:pPr>
              <w:spacing w:before="600" w:after="0"/>
            </w:pPr>
            <w:r>
              <w:rPr>
                <w:rFonts w:ascii="Arial" w:hAnsi="Arial"/>
                <w:b/>
                <w:color w:val="323232"/>
                <w:sz w:val="20"/>
              </w:rPr>
              <w:t>Signature of the Guide</w:t>
            </w:r>
          </w:p>
        </w:tc>
        <w:tc>
          <w:tcPr>
            <w:tcW w:w="4680" w:type="dxa"/>
          </w:tcPr>
          <w:p w14:paraId="08F2507A" w14:textId="77777777" w:rsidR="00935624" w:rsidRDefault="00000000">
            <w:pPr>
              <w:spacing w:before="600" w:after="0"/>
              <w:jc w:val="right"/>
            </w:pPr>
            <w:r>
              <w:rPr>
                <w:rFonts w:ascii="Arial" w:hAnsi="Arial"/>
                <w:b/>
                <w:color w:val="323232"/>
                <w:sz w:val="20"/>
              </w:rPr>
              <w:t>HOD</w:t>
            </w:r>
          </w:p>
        </w:tc>
      </w:tr>
    </w:tbl>
    <w:p w14:paraId="2886D3BA" w14:textId="77777777" w:rsidR="00E74A35" w:rsidRDefault="00E74A35"/>
    <w:sectPr w:rsidR="00E74A3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0881282">
    <w:abstractNumId w:val="8"/>
  </w:num>
  <w:num w:numId="2" w16cid:durableId="1227564970">
    <w:abstractNumId w:val="6"/>
  </w:num>
  <w:num w:numId="3" w16cid:durableId="1628928919">
    <w:abstractNumId w:val="5"/>
  </w:num>
  <w:num w:numId="4" w16cid:durableId="1549880137">
    <w:abstractNumId w:val="4"/>
  </w:num>
  <w:num w:numId="5" w16cid:durableId="1795440595">
    <w:abstractNumId w:val="7"/>
  </w:num>
  <w:num w:numId="6" w16cid:durableId="118914777">
    <w:abstractNumId w:val="3"/>
  </w:num>
  <w:num w:numId="7" w16cid:durableId="494036486">
    <w:abstractNumId w:val="2"/>
  </w:num>
  <w:num w:numId="8" w16cid:durableId="1875993509">
    <w:abstractNumId w:val="1"/>
  </w:num>
  <w:num w:numId="9" w16cid:durableId="633563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369"/>
    <w:rsid w:val="00326F90"/>
    <w:rsid w:val="009201E0"/>
    <w:rsid w:val="00935624"/>
    <w:rsid w:val="00AA1D8D"/>
    <w:rsid w:val="00B47730"/>
    <w:rsid w:val="00CB0664"/>
    <w:rsid w:val="00D83875"/>
    <w:rsid w:val="00DA3B03"/>
    <w:rsid w:val="00E74A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F2741E"/>
  <w14:defaultImageDpi w14:val="300"/>
  <w15:docId w15:val="{992FE39A-AA5F-4586-AC60-277716A9D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1147</Words>
  <Characters>6544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7075405961p@gmail.com</cp:lastModifiedBy>
  <cp:revision>5</cp:revision>
  <dcterms:created xsi:type="dcterms:W3CDTF">2013-12-23T23:15:00Z</dcterms:created>
  <dcterms:modified xsi:type="dcterms:W3CDTF">2026-09-17T03:41:00Z</dcterms:modified>
  <cp:category/>
</cp:coreProperties>
</file>