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5C189" w14:textId="77777777" w:rsidR="00850178" w:rsidRDefault="00000000">
      <w:pPr>
        <w:spacing w:after="160"/>
        <w:jc w:val="center"/>
      </w:pPr>
      <w:r>
        <w:rPr>
          <w:b/>
          <w:color w:val="1A365D"/>
          <w:sz w:val="40"/>
        </w:rPr>
        <w:t>Smart Business Analytics Dashboard Architecture for E-Commerce: A Predictive, Prescriptive, and Explainable Intelligence Framework</w:t>
      </w:r>
    </w:p>
    <w:p w14:paraId="4CFE553F" w14:textId="53E868D9" w:rsidR="00850178" w:rsidRDefault="00000000">
      <w:pPr>
        <w:spacing w:after="360"/>
        <w:jc w:val="center"/>
      </w:pPr>
      <w:r>
        <w:rPr>
          <w:b/>
          <w:sz w:val="24"/>
        </w:rPr>
        <w:br/>
      </w:r>
      <w:r>
        <w:rPr>
          <w:i/>
          <w:color w:val="4A5568"/>
          <w:sz w:val="20"/>
        </w:rPr>
        <w:t>Department of Computer Science &amp; Engineering, Koneru Lakshmaiah Education Foundation</w:t>
      </w:r>
    </w:p>
    <w:tbl>
      <w:tblPr>
        <w:tblW w:w="0" w:type="auto"/>
        <w:jc w:val="center"/>
        <w:tblLook w:val="04A0" w:firstRow="1" w:lastRow="0" w:firstColumn="1" w:lastColumn="0" w:noHBand="0" w:noVBand="1"/>
      </w:tblPr>
      <w:tblGrid>
        <w:gridCol w:w="9360"/>
      </w:tblGrid>
      <w:tr w:rsidR="00850178" w14:paraId="57BA0C5F" w14:textId="77777777">
        <w:trPr>
          <w:jc w:val="center"/>
        </w:trPr>
        <w:tc>
          <w:tcPr>
            <w:tcW w:w="9360" w:type="dxa"/>
            <w:tcBorders>
              <w:top w:val="single" w:sz="8" w:space="0" w:color="CBD5E0"/>
              <w:left w:val="single" w:sz="24" w:space="0" w:color="1A365D"/>
              <w:bottom w:val="single" w:sz="8" w:space="0" w:color="CBD5E0"/>
              <w:right w:val="single" w:sz="8" w:space="0" w:color="CBD5E0"/>
            </w:tcBorders>
            <w:shd w:val="clear" w:color="auto" w:fill="F7FAFC"/>
            <w:tcMar>
              <w:top w:w="140" w:type="dxa"/>
              <w:left w:w="180" w:type="dxa"/>
              <w:bottom w:w="140" w:type="dxa"/>
              <w:right w:w="180" w:type="dxa"/>
            </w:tcMar>
          </w:tcPr>
          <w:p w14:paraId="54193FBB" w14:textId="77777777" w:rsidR="00850178" w:rsidRDefault="00000000">
            <w:pPr>
              <w:spacing w:after="80"/>
            </w:pPr>
            <w:r>
              <w:rPr>
                <w:b/>
                <w:color w:val="1A365D"/>
              </w:rPr>
              <w:t>ABSTRACT</w:t>
            </w:r>
          </w:p>
          <w:p w14:paraId="67AECDB6" w14:textId="77777777" w:rsidR="00850178" w:rsidRDefault="00000000">
            <w:pPr>
              <w:spacing w:after="120"/>
            </w:pPr>
            <w:r>
              <w:rPr>
                <w:sz w:val="20"/>
              </w:rPr>
              <w:t>Modern electronic commerce (e-commerce) platforms generate vast streams of transactional, clickstream, and operational data. However, traditional enterprise business intelligence (BI) dashboards remain predominantly descriptive, serving as passive reports that track historical key performance indicators (KPIs) without providing forward-looking or prescriptive decision support. This research paper presents an enterprise-grade Smart Business Analytics Dashboard framework that seamlessly integrates real-time data streaming, high-performance predictive machine learning (ML), and local Explainable AI (XAI) directly within an interactive visualization interface. We design a unified multi-layer data architecture leveraging Apache Kafka for event ingestion, an online/offline Feast feature store, and optimized tree-based ensembles (LightGBM and XGBoost) alongside tabular neural network baselines (TabNet). Our framework addresses three critical operational tasks: real-time customer churn risk classification, dynamic multi-horizon demand forecasting, and customer lifetime value (CLV) estimation. To bridge the trust gap inherent in complex black-box predictive models, we embed SHapley Additive exPlanations (SHAP) into the dashboard user interface, supplying store managers with instant, actionable feature attribution breakdowns for high-risk customer records. Empirical evaluation on a multi-source benchmark dataset comprising 1.2 million transactions and 4.5 million web clickstream logs demonstrates that our proposed framework achieves an 0.884 ROC-AUC for churn prediction (+24.1% over linear baselines) and reduces demand forecasting error (MAPE) to 11.2%, while maintaining sub-10 millisecond inference latencies. The detailed architectural specifications, mathematical formulations, experimental benchmarks, and UX design guidelines presented in this study offer a comprehensive blueprint for next-generation intelligence platforms in retail digital transformation.</w:t>
            </w:r>
          </w:p>
          <w:p w14:paraId="3816A4B9" w14:textId="77777777" w:rsidR="00850178" w:rsidRDefault="00000000">
            <w:pPr>
              <w:spacing w:after="0"/>
            </w:pPr>
            <w:r>
              <w:rPr>
                <w:b/>
                <w:sz w:val="20"/>
              </w:rPr>
              <w:t xml:space="preserve">Keywords: </w:t>
            </w:r>
            <w:r>
              <w:rPr>
                <w:i/>
                <w:sz w:val="20"/>
              </w:rPr>
              <w:t>E-Commerce Business Intelligence, Smart Dashboards, Predictive Analytics, Explainable AI (XAI), LightGBM, SHAP, Real-Time Data Pipelines, Churn Forecasting.</w:t>
            </w:r>
          </w:p>
        </w:tc>
      </w:tr>
    </w:tbl>
    <w:p w14:paraId="17797713" w14:textId="77777777" w:rsidR="00850178" w:rsidRDefault="00850178">
      <w:pPr>
        <w:spacing w:after="120"/>
      </w:pPr>
    </w:p>
    <w:p w14:paraId="29D9D039" w14:textId="77777777" w:rsidR="00850178" w:rsidRDefault="00000000">
      <w:pPr>
        <w:keepNext/>
        <w:spacing w:before="360" w:after="120"/>
      </w:pPr>
      <w:r>
        <w:rPr>
          <w:b/>
          <w:color w:val="1A365D"/>
          <w:sz w:val="28"/>
        </w:rPr>
        <w:t>1. INTRODUCTION</w:t>
      </w:r>
    </w:p>
    <w:p w14:paraId="2415D6A7" w14:textId="77777777" w:rsidR="00850178" w:rsidRDefault="00000000">
      <w:pPr>
        <w:keepNext/>
        <w:spacing w:before="280" w:after="80"/>
      </w:pPr>
      <w:r>
        <w:rPr>
          <w:b/>
          <w:color w:val="2B6CB0"/>
          <w:sz w:val="24"/>
        </w:rPr>
        <w:t>1.1 Background and Domain Context</w:t>
      </w:r>
    </w:p>
    <w:p w14:paraId="74D88421" w14:textId="77777777" w:rsidR="00850178" w:rsidRDefault="00000000">
      <w:pPr>
        <w:spacing w:after="120"/>
      </w:pPr>
      <w:r>
        <w:t>The global electronic commerce landscape has undergone exponential structural growth, accelerated by advances in cloud infrastructure, mobile connectivity, and omnichannel digital storefronts. Today, e-commerce platforms process millions of customer interactions every minute—ranging from page views, search queries, and shopping cart modifications to payment gateways, inventory updates, and post-purchase customer service interactions. In this highly competitive digital market, enterprise decision-makers depend heavily on Business Intelligence (BI) tools to monitor operational health and formulate strategic interventions.</w:t>
      </w:r>
    </w:p>
    <w:p w14:paraId="3151E06C" w14:textId="77777777" w:rsidR="00850178" w:rsidRDefault="00000000">
      <w:pPr>
        <w:spacing w:after="120"/>
      </w:pPr>
      <w:r>
        <w:lastRenderedPageBreak/>
        <w:t>Historically, BI tools such as dashboards have served as the reporting nerve center for retail management. By aggregating raw database logs into visual bar charts, pie charts, and tabular summaries, traditional dashboards enable executives to monitor top-line metric trends—such as total monthly revenue, average order value (AOV), conversion rates by marketing channel, and return rates. However, as data volume, velocity, and variety have expanded, the structural limitations of conventional BI systems have become increasingly apparent.</w:t>
      </w:r>
    </w:p>
    <w:p w14:paraId="2D1B6195" w14:textId="77777777" w:rsidR="00850178" w:rsidRDefault="00000000">
      <w:pPr>
        <w:keepNext/>
        <w:spacing w:before="280" w:after="80"/>
      </w:pPr>
      <w:r>
        <w:rPr>
          <w:b/>
          <w:color w:val="2B6CB0"/>
          <w:sz w:val="24"/>
        </w:rPr>
        <w:t>1.2 Problem Statement</w:t>
      </w:r>
    </w:p>
    <w:p w14:paraId="0E7B5C83" w14:textId="77777777" w:rsidR="00850178" w:rsidRDefault="00000000">
      <w:pPr>
        <w:spacing w:after="120"/>
      </w:pPr>
      <w:r>
        <w:t>Despite widespread corporate adoption of modern BI suites (e.g., Tableau, Power BI, Looker), current e-commerce analytics operations suffer from three fundamental deficiencies:</w:t>
      </w:r>
    </w:p>
    <w:p w14:paraId="2D98B6BA" w14:textId="77777777" w:rsidR="00850178" w:rsidRDefault="00000000">
      <w:pPr>
        <w:pStyle w:val="ListBullet"/>
        <w:spacing w:after="80"/>
      </w:pPr>
      <w:r>
        <w:rPr>
          <w:b/>
        </w:rPr>
        <w:t xml:space="preserve">1. Descriptive Rigidity: </w:t>
      </w:r>
      <w:r>
        <w:t>Traditional analytics platforms act predominantly as 'rear-view mirrors.' They report past performance—such as yesterday's sales slump or last week's spike in customer churn—without offering forward-looking predictive forecasts or explaining the underlying root causes in real time. By the time a drop in customer retention is visible on a historical chart, the business has already suffered financial loss.</w:t>
      </w:r>
    </w:p>
    <w:p w14:paraId="56A6CCB2" w14:textId="77777777" w:rsidR="00850178" w:rsidRDefault="00000000">
      <w:pPr>
        <w:pStyle w:val="ListBullet"/>
        <w:spacing w:after="80"/>
      </w:pPr>
      <w:r>
        <w:rPr>
          <w:b/>
        </w:rPr>
        <w:t xml:space="preserve">2. Data Pipeline Fragmentation: </w:t>
      </w:r>
      <w:r>
        <w:t>Digital retail operations rely on fragmented software ecosystems. Web clickstream logs are captured in analytics suites (e.g., Google Analytics 4), customer transaction histories reside in relational databases (e.g., PostgreSQL, Shopify backends), marketing ad spend is tracked in third-party APIs (Meta Ads, Google Ads), and inventory levels are logged in Enterprise Resource Planning (ERP) databases. Without a unified streaming feature store, cross-domain behavioral modeling remains infeasible.</w:t>
      </w:r>
    </w:p>
    <w:p w14:paraId="58079B4F" w14:textId="77777777" w:rsidR="00850178" w:rsidRDefault="00000000">
      <w:pPr>
        <w:pStyle w:val="ListBullet"/>
        <w:spacing w:after="80"/>
      </w:pPr>
      <w:r>
        <w:rPr>
          <w:b/>
        </w:rPr>
        <w:t xml:space="preserve">3. Opacity of Advanced Machine Learning (The 'Black-Box' Paradox): </w:t>
      </w:r>
      <w:r>
        <w:t>When organizations deploy standalone machine learning (ML) models to predict churn or lifetime value, these models operate isolated from operational dashboards. Furthermore, complex models output raw risk scores without providing human-interpretable explanations. Business stakeholders hesitate to authorize high-cost proactive interventions (such as issuing $50 promotional discount codes to at-risk customers) without a clear understanding of why a specific customer was flagged.</w:t>
      </w:r>
    </w:p>
    <w:p w14:paraId="36DE0CF4" w14:textId="77777777" w:rsidR="00850178" w:rsidRDefault="00000000">
      <w:pPr>
        <w:keepNext/>
        <w:spacing w:before="280" w:after="80"/>
      </w:pPr>
      <w:r>
        <w:rPr>
          <w:b/>
          <w:color w:val="2B6CB0"/>
          <w:sz w:val="24"/>
        </w:rPr>
        <w:t>1.3 Research Gap</w:t>
      </w:r>
    </w:p>
    <w:p w14:paraId="7FA3ABA7" w14:textId="77777777" w:rsidR="00850178" w:rsidRDefault="00000000">
      <w:pPr>
        <w:spacing w:after="120"/>
      </w:pPr>
      <w:r>
        <w:t>A substantial body of academic literature exists in isolation across three separate domains: (a) predictive tabular machine learning algorithms, (b) Explainable AI (XAI) theory, and (c) human-computer interaction (HCI) for visualization dashboards. However, there is a distinct lack of integrative research detailing how to architect, optimize, and evaluate an enterprise analytics system that combines real-time event streaming pipelines, low-latency predictive tabular models, local SHAP explainability engines, and interactive dashboard UI components into a single unified framework.</w:t>
      </w:r>
    </w:p>
    <w:p w14:paraId="44FD1CA7" w14:textId="77777777" w:rsidR="00850178" w:rsidRDefault="00000000">
      <w:pPr>
        <w:keepNext/>
        <w:spacing w:before="280" w:after="80"/>
      </w:pPr>
      <w:r>
        <w:rPr>
          <w:b/>
          <w:color w:val="2B6CB0"/>
          <w:sz w:val="24"/>
        </w:rPr>
        <w:t>1.4 Research Objectives</w:t>
      </w:r>
    </w:p>
    <w:p w14:paraId="3D411D97" w14:textId="77777777" w:rsidR="00850178" w:rsidRDefault="00000000">
      <w:pPr>
        <w:spacing w:after="120"/>
      </w:pPr>
      <w:r>
        <w:t>To bridge this gap, this research project pursues the following primary objectives:</w:t>
      </w:r>
    </w:p>
    <w:p w14:paraId="06190B6A" w14:textId="77777777" w:rsidR="00850178" w:rsidRDefault="00000000">
      <w:pPr>
        <w:pStyle w:val="ListBullet"/>
        <w:spacing w:after="80"/>
      </w:pPr>
      <w:r>
        <w:rPr>
          <w:b/>
        </w:rPr>
        <w:t xml:space="preserve">• Data Architecture Design: </w:t>
      </w:r>
      <w:r>
        <w:t>Formulate an enterprise end-to-end data architecture capable of ingesting high-velocity stream events and historical relational data into a unified online/offline feature store.</w:t>
      </w:r>
    </w:p>
    <w:p w14:paraId="09D7A805" w14:textId="77777777" w:rsidR="00850178" w:rsidRDefault="00000000">
      <w:pPr>
        <w:pStyle w:val="ListBullet"/>
        <w:spacing w:after="80"/>
      </w:pPr>
      <w:r>
        <w:rPr>
          <w:b/>
        </w:rPr>
        <w:lastRenderedPageBreak/>
        <w:t xml:space="preserve">• Predictive Modeling Framework: </w:t>
      </w:r>
      <w:r>
        <w:t>Develop and tune high-capacity tabular machine learning models (LightGBM, XGBoost, TabNet) for simultaneous customer churn risk classification, dynamic sales forecasting, and CLV estimation.</w:t>
      </w:r>
    </w:p>
    <w:p w14:paraId="3155785F" w14:textId="77777777" w:rsidR="00850178" w:rsidRDefault="00000000">
      <w:pPr>
        <w:pStyle w:val="ListBullet"/>
        <w:spacing w:after="80"/>
      </w:pPr>
      <w:r>
        <w:rPr>
          <w:b/>
        </w:rPr>
        <w:t xml:space="preserve">• Embedded XAI Interface: </w:t>
      </w:r>
      <w:r>
        <w:t>Integrate tree-based SHapley Additive exPlanations (TreeSHAP) directly into the operational dashboard UI to provide local, record-level feature attribution visual components.</w:t>
      </w:r>
    </w:p>
    <w:p w14:paraId="36F7A2F6" w14:textId="77777777" w:rsidR="00850178" w:rsidRDefault="00000000">
      <w:pPr>
        <w:pStyle w:val="ListBullet"/>
        <w:spacing w:after="80"/>
      </w:pPr>
      <w:r>
        <w:rPr>
          <w:b/>
        </w:rPr>
        <w:t xml:space="preserve">• Empirical Benchmark &amp; Latency Evaluation: </w:t>
      </w:r>
      <w:r>
        <w:t>Conduct rigorous empirical validation using a 1.2M record e-commerce dataset to measure predictive performance gains over traditional baselines while verifying sub-second dashboard rendering responsiveness.</w:t>
      </w:r>
    </w:p>
    <w:p w14:paraId="55339806" w14:textId="77777777" w:rsidR="00850178" w:rsidRDefault="00000000">
      <w:pPr>
        <w:keepNext/>
        <w:spacing w:before="280" w:after="80"/>
      </w:pPr>
      <w:r>
        <w:rPr>
          <w:b/>
          <w:color w:val="2B6CB0"/>
          <w:sz w:val="24"/>
        </w:rPr>
        <w:t>1.5 Research Questions</w:t>
      </w:r>
    </w:p>
    <w:p w14:paraId="375C0428" w14:textId="77777777" w:rsidR="00850178" w:rsidRDefault="00000000">
      <w:pPr>
        <w:pStyle w:val="ListBullet"/>
        <w:spacing w:after="80"/>
      </w:pPr>
      <w:r>
        <w:rPr>
          <w:b/>
        </w:rPr>
        <w:t xml:space="preserve">• RQ1: </w:t>
      </w:r>
      <w:r>
        <w:t>How can real-time clickstream events and historical batch transaction data be unified in an enterprise feature store to support machine learning without introducing computational latency?</w:t>
      </w:r>
    </w:p>
    <w:p w14:paraId="60185489" w14:textId="77777777" w:rsidR="00850178" w:rsidRDefault="00000000">
      <w:pPr>
        <w:pStyle w:val="ListBullet"/>
        <w:spacing w:after="80"/>
      </w:pPr>
      <w:r>
        <w:rPr>
          <w:b/>
        </w:rPr>
        <w:t xml:space="preserve">• RQ2: </w:t>
      </w:r>
      <w:r>
        <w:t>To what extent do gradient-boosted decision trees (LightGBM/XGBoost) and tabular deep learning models (TabNet) outperform standard BI statistical heuristics in e-commerce predictive tasks?</w:t>
      </w:r>
    </w:p>
    <w:p w14:paraId="206FFC17" w14:textId="77777777" w:rsidR="00850178" w:rsidRDefault="00000000">
      <w:pPr>
        <w:pStyle w:val="ListBullet"/>
        <w:spacing w:after="80"/>
      </w:pPr>
      <w:r>
        <w:rPr>
          <w:b/>
        </w:rPr>
        <w:t xml:space="preserve">• RQ3: </w:t>
      </w:r>
      <w:r>
        <w:t>Can local TreeSHAP feature attributions be calculated and rendered in an interactive dashboard UI within an operational latency budget of under 50 milliseconds?</w:t>
      </w:r>
    </w:p>
    <w:p w14:paraId="0326BC8D" w14:textId="77777777" w:rsidR="00850178" w:rsidRDefault="00000000">
      <w:pPr>
        <w:keepNext/>
        <w:spacing w:before="280" w:after="80"/>
      </w:pPr>
      <w:r>
        <w:rPr>
          <w:b/>
          <w:color w:val="2B6CB0"/>
          <w:sz w:val="24"/>
        </w:rPr>
        <w:t>1.6 Key Scientific Contributions</w:t>
      </w:r>
    </w:p>
    <w:p w14:paraId="001C1790" w14:textId="77777777" w:rsidR="00850178" w:rsidRDefault="00000000">
      <w:pPr>
        <w:spacing w:after="120"/>
      </w:pPr>
      <w:r>
        <w:t>The core contributions of this study are summarized below:</w:t>
      </w:r>
    </w:p>
    <w:p w14:paraId="50C0947B" w14:textId="77777777" w:rsidR="00850178" w:rsidRDefault="00000000">
      <w:pPr>
        <w:pStyle w:val="ListBullet"/>
        <w:spacing w:after="80"/>
      </w:pPr>
      <w:r>
        <w:rPr>
          <w:b/>
        </w:rPr>
        <w:t xml:space="preserve">1. End-to-End Architectural Blueprint: </w:t>
      </w:r>
      <w:r>
        <w:t>We present a production-ready architectural design specifying every layer from raw event streaming (Apache Kafka) to dashboard front-end rendering (React + D3.js).</w:t>
      </w:r>
    </w:p>
    <w:p w14:paraId="070D00C2" w14:textId="77777777" w:rsidR="00850178" w:rsidRDefault="00000000">
      <w:pPr>
        <w:pStyle w:val="ListBullet"/>
        <w:spacing w:after="80"/>
      </w:pPr>
      <w:r>
        <w:rPr>
          <w:b/>
        </w:rPr>
        <w:t xml:space="preserve">2. Multi-Task Predictive ML Suite: </w:t>
      </w:r>
      <w:r>
        <w:t>We deliver specialized machine learning pipelines optimized for churn classification (ROC-AUC 0.884), demand forecasting (MAPE 11.2%), and CLV regression (RMSE $91.15).</w:t>
      </w:r>
    </w:p>
    <w:p w14:paraId="18E2C009" w14:textId="77777777" w:rsidR="00850178" w:rsidRDefault="00000000">
      <w:pPr>
        <w:pStyle w:val="ListBullet"/>
        <w:spacing w:after="80"/>
      </w:pPr>
      <w:r>
        <w:rPr>
          <w:b/>
        </w:rPr>
        <w:t xml:space="preserve">3. First Embedded XAI UI Framework: </w:t>
      </w:r>
      <w:r>
        <w:t>We introduce a novel UI design pattern that embeds local SHAP bar charts directly into customer profile cards, enabling non-technical store managers to perform root-cause analysis instantly.</w:t>
      </w:r>
    </w:p>
    <w:p w14:paraId="4DEDDD87" w14:textId="77777777" w:rsidR="00850178" w:rsidRDefault="00000000">
      <w:pPr>
        <w:pStyle w:val="ListBullet"/>
        <w:spacing w:after="80"/>
      </w:pPr>
      <w:r>
        <w:rPr>
          <w:b/>
        </w:rPr>
        <w:t xml:space="preserve">4. Comprehensive Empirical Benchmarks: </w:t>
      </w:r>
      <w:r>
        <w:t>We provide extensive experimental validation including ROC/PR curve analysis, confusion matrices, ablation studies, and system latency profiling.</w:t>
      </w:r>
    </w:p>
    <w:p w14:paraId="39587017" w14:textId="77777777" w:rsidR="00850178" w:rsidRDefault="00000000">
      <w:pPr>
        <w:keepNext/>
        <w:spacing w:before="280" w:after="80"/>
      </w:pPr>
      <w:r>
        <w:rPr>
          <w:b/>
          <w:color w:val="2B6CB0"/>
          <w:sz w:val="24"/>
        </w:rPr>
        <w:t>1.7 Organization of the Manuscript</w:t>
      </w:r>
    </w:p>
    <w:p w14:paraId="10D0F95A" w14:textId="77777777" w:rsidR="00850178" w:rsidRDefault="00000000">
      <w:pPr>
        <w:spacing w:after="120"/>
      </w:pPr>
      <w:r>
        <w:t>The remainder of this manuscript is structured into eight distinct sections: Section 2 presents a comprehensive review of related work across business intelligence, machine learning, and explainability. Section 3 outlines the proposed system architecture, data preprocessing workflows, and mathematical formulations. Section 4 details the experimental setup, hardware environments, hyperparameter configurations, and evaluation metrics. Section 5 discusses the empirical results, model comparisons, and visual dashboard interfaces. Section 6 analyzes theoretical and practical implications, Section 7 addresses limitations, and Section 8 concludes with future research trajectories.</w:t>
      </w:r>
    </w:p>
    <w:p w14:paraId="3BFAA0C0" w14:textId="77777777" w:rsidR="00850178" w:rsidRDefault="00000000">
      <w:pPr>
        <w:keepNext/>
        <w:spacing w:before="360" w:after="120"/>
      </w:pPr>
      <w:r>
        <w:rPr>
          <w:b/>
          <w:color w:val="1A365D"/>
          <w:sz w:val="28"/>
        </w:rPr>
        <w:lastRenderedPageBreak/>
        <w:t>2. RELATED WORK</w:t>
      </w:r>
    </w:p>
    <w:p w14:paraId="18F5C24A" w14:textId="77777777" w:rsidR="00850178" w:rsidRDefault="00000000">
      <w:pPr>
        <w:keepNext/>
        <w:spacing w:before="280" w:after="80"/>
      </w:pPr>
      <w:r>
        <w:rPr>
          <w:b/>
          <w:color w:val="2B6CB0"/>
          <w:sz w:val="24"/>
        </w:rPr>
        <w:t>2.1 Evolution of Business Intelligence &amp; Executive Dashboards</w:t>
      </w:r>
    </w:p>
    <w:p w14:paraId="272B50E0" w14:textId="77777777" w:rsidR="00850178" w:rsidRDefault="00000000">
      <w:pPr>
        <w:spacing w:after="120"/>
      </w:pPr>
      <w:r>
        <w:t>The conceptual foundation of executive information systems (EIS) and business intelligence (BI) dashboards was established in human-computer interaction literature during the late 1990s. Early frameworks emphasized static data aggregation and tabular summaries. Stephen Few laid the structural design principles for modern dashboards, defining a dashboard as a visual display of the most important information needed to achieve one or more objectives, consolidated and arranged on a single screen so the information can be monitored at a glance.</w:t>
      </w:r>
    </w:p>
    <w:p w14:paraId="43CA597F" w14:textId="77777777" w:rsidR="00850178" w:rsidRDefault="00000000">
      <w:pPr>
        <w:spacing w:after="120"/>
      </w:pPr>
      <w:r>
        <w:t>Over the past decade, cloud data warehousing platforms (e.g., Snowflake, Google BigQuery, Amazon Redshift) transformed BI architecture by decoupling compute from storage. This enabled platforms like Tableau, Power BI, and Looker to query billions of rows using SQL. However, despite improvements in visual layout and querying speeds, conventional BI solutions remain functionally limited to descriptive analytics. They answer 'What happened?' but lack the algorithmic capability to answer 'What will happen?' or 'Why did it happen?'</w:t>
      </w:r>
    </w:p>
    <w:p w14:paraId="44D838D9" w14:textId="77777777" w:rsidR="00850178" w:rsidRDefault="00000000">
      <w:pPr>
        <w:keepNext/>
        <w:spacing w:before="280" w:after="80"/>
      </w:pPr>
      <w:r>
        <w:rPr>
          <w:b/>
          <w:color w:val="2B6CB0"/>
          <w:sz w:val="24"/>
        </w:rPr>
        <w:t>2.2 Machine Learning in E-Commerce Analytics</w:t>
      </w:r>
    </w:p>
    <w:p w14:paraId="3609C343" w14:textId="77777777" w:rsidR="00850178" w:rsidRDefault="00000000">
      <w:pPr>
        <w:spacing w:after="120"/>
      </w:pPr>
      <w:r>
        <w:t>Predictive modeling in electronic commerce has matured significantly over the past two decades. Early studies applied traditional statistical models, such as RFM (Recency, Frequency, Monetary) heuristic scoring and Pareto/NBD (Negative Binomial Distribution) probabilistic models for customer lifetime value estimation. While computationally lightweight, these linear and probabilistic models assume stationary customer behavior and fail to capture non-linear relationships across high-dimensional behavioral feature spaces.</w:t>
      </w:r>
    </w:p>
    <w:p w14:paraId="2F94A06E" w14:textId="77777777" w:rsidR="00850178" w:rsidRDefault="00000000">
      <w:pPr>
        <w:spacing w:after="120"/>
      </w:pPr>
      <w:r>
        <w:t>With the advent of supervised machine learning, tree-based ensemble methods—specifically Random Forests, Extreme Gradient Boosting (XGBoost), and Light Gradient Boosting Machine (LightGBM)—emerged as state-of-the-art architectures for tabular data. Empirical benchmarks demonstrate that gradient boosted decision trees consistently outperform deep learning approaches on tabular datasets due to their robustness to unnormalized features, high interpretability, and superior handling of categorical cardinality.</w:t>
      </w:r>
    </w:p>
    <w:p w14:paraId="73DB738D" w14:textId="77777777" w:rsidR="00850178" w:rsidRDefault="00000000">
      <w:pPr>
        <w:keepNext/>
        <w:spacing w:before="280" w:after="80"/>
      </w:pPr>
      <w:r>
        <w:rPr>
          <w:b/>
          <w:color w:val="2B6CB0"/>
          <w:sz w:val="24"/>
        </w:rPr>
        <w:t>2.3 Deep Learning for Tabular E-Commerce Data</w:t>
      </w:r>
    </w:p>
    <w:p w14:paraId="44ECCF06" w14:textId="77777777" w:rsidR="00850178" w:rsidRDefault="00000000">
      <w:pPr>
        <w:spacing w:after="120"/>
      </w:pPr>
      <w:r>
        <w:t>Recent deep learning research has explored specialized neural architectures designed specifically for tabular data. Arik and Pfister introduced TabNet, an architecture that uses sequential attention mechanisms to select relevant features at each decision step. TabNet offers end-to-end representation learning and built-in instance-level feature selection. Similarly, Temporal Fusion Transformers (TFT) have been proposed for multi-horizon time-series forecasting. While neural approaches excel in vision and language domains, their application to real-time e-commerce BI remains challenging due to higher computational latency and substantial training resource demands.</w:t>
      </w:r>
    </w:p>
    <w:p w14:paraId="4BCEFB1C" w14:textId="77777777" w:rsidR="00850178" w:rsidRDefault="00000000">
      <w:pPr>
        <w:keepNext/>
        <w:spacing w:before="280" w:after="80"/>
      </w:pPr>
      <w:r>
        <w:rPr>
          <w:b/>
          <w:color w:val="2B6CB0"/>
          <w:sz w:val="24"/>
        </w:rPr>
        <w:t>2.4 Explainable AI (XAI) and Model Interpretability</w:t>
      </w:r>
    </w:p>
    <w:p w14:paraId="5E844A85" w14:textId="77777777" w:rsidR="00850178" w:rsidRDefault="00000000">
      <w:pPr>
        <w:spacing w:after="120"/>
      </w:pPr>
      <w:r>
        <w:t>As machine learning models increase in complexity, model interpretability has become a primary requirement for enterprise adoption. Explainable AI methods are generally categorized into model-</w:t>
      </w:r>
      <w:r>
        <w:lastRenderedPageBreak/>
        <w:t>intrinsic methods (e.g., linear models, shallow decision trees) and post-hoc model-agnostic methods. Local Interpretable Model-agnostic Explanations (LIME) constructs local surrogate models around individual predictions. However, LIME suffers from sampling instability.</w:t>
      </w:r>
    </w:p>
    <w:p w14:paraId="142BB8FF" w14:textId="77777777" w:rsidR="00850178" w:rsidRDefault="00000000">
      <w:pPr>
        <w:spacing w:after="120"/>
      </w:pPr>
      <w:r>
        <w:t>Lundberg and Lee unified post-hoc interpretability by introducing SHapley Additive exPlanations (SHAP), grounded in game-theoretic Shapley values. SHAP provides unique theoretical guarantees: Local Accuracy, Missingness, and Consistency. The introduction of TreeSHAP—a specialized algorithm for tree ensembles—reduced the computational complexity of exact Shapley value calculation from exponential time $O(TLM^2)$ to polynomial time $O(TLD^2)$, where $T$ is the number of trees, $L$ is the maximum number of leaves, and $D$ is maximum depth. This algorithmic breakthrough makes real-time local explanation rendering feasible in web UI applications.</w:t>
      </w:r>
    </w:p>
    <w:p w14:paraId="6C64B898" w14:textId="77777777" w:rsidR="00850178" w:rsidRDefault="00000000">
      <w:pPr>
        <w:keepNext/>
        <w:spacing w:before="280" w:after="80"/>
      </w:pPr>
      <w:r>
        <w:rPr>
          <w:b/>
          <w:color w:val="2B6CB0"/>
          <w:sz w:val="24"/>
        </w:rPr>
        <w:t>2.5 Critical Literature Comparison</w:t>
      </w:r>
    </w:p>
    <w:p w14:paraId="6F0A94A1" w14:textId="77777777" w:rsidR="00850178" w:rsidRDefault="00000000">
      <w:pPr>
        <w:spacing w:after="120"/>
      </w:pPr>
      <w:r>
        <w:t>Table 1 provides a systematic comparison evaluating existing analytical paradigms against our proposed Smart Business Analytics Dashboard framework.</w:t>
      </w:r>
    </w:p>
    <w:tbl>
      <w:tblPr>
        <w:tblW w:w="0" w:type="auto"/>
        <w:jc w:val="center"/>
        <w:tblLook w:val="04A0" w:firstRow="1" w:lastRow="0" w:firstColumn="1" w:lastColumn="0" w:noHBand="0" w:noVBand="1"/>
      </w:tblPr>
      <w:tblGrid>
        <w:gridCol w:w="2340"/>
        <w:gridCol w:w="2340"/>
        <w:gridCol w:w="2340"/>
        <w:gridCol w:w="2340"/>
      </w:tblGrid>
      <w:tr w:rsidR="00850178" w14:paraId="0F146109" w14:textId="77777777">
        <w:trPr>
          <w:jc w:val="center"/>
        </w:trPr>
        <w:tc>
          <w:tcPr>
            <w:tcW w:w="2340" w:type="dxa"/>
            <w:shd w:val="clear" w:color="auto" w:fill="1A365D"/>
          </w:tcPr>
          <w:p w14:paraId="03F4D69C" w14:textId="77777777" w:rsidR="00850178" w:rsidRDefault="00000000">
            <w:r>
              <w:rPr>
                <w:b/>
                <w:color w:val="FFFFFF"/>
                <w:sz w:val="19"/>
              </w:rPr>
              <w:t>Dimension</w:t>
            </w:r>
          </w:p>
        </w:tc>
        <w:tc>
          <w:tcPr>
            <w:tcW w:w="2340" w:type="dxa"/>
            <w:shd w:val="clear" w:color="auto" w:fill="1A365D"/>
          </w:tcPr>
          <w:p w14:paraId="62D9C45C" w14:textId="77777777" w:rsidR="00850178" w:rsidRDefault="00000000">
            <w:r>
              <w:rPr>
                <w:b/>
                <w:color w:val="FFFFFF"/>
                <w:sz w:val="19"/>
              </w:rPr>
              <w:t>Traditional BI Dashboards</w:t>
            </w:r>
          </w:p>
        </w:tc>
        <w:tc>
          <w:tcPr>
            <w:tcW w:w="2340" w:type="dxa"/>
            <w:shd w:val="clear" w:color="auto" w:fill="1A365D"/>
          </w:tcPr>
          <w:p w14:paraId="574EE545" w14:textId="77777777" w:rsidR="00850178" w:rsidRDefault="00000000">
            <w:r>
              <w:rPr>
                <w:b/>
                <w:color w:val="FFFFFF"/>
                <w:sz w:val="19"/>
              </w:rPr>
              <w:t>Offline ML Pipelines</w:t>
            </w:r>
          </w:p>
        </w:tc>
        <w:tc>
          <w:tcPr>
            <w:tcW w:w="2340" w:type="dxa"/>
            <w:shd w:val="clear" w:color="auto" w:fill="1A365D"/>
          </w:tcPr>
          <w:p w14:paraId="08BE7ED5" w14:textId="77777777" w:rsidR="00850178" w:rsidRDefault="00000000">
            <w:r>
              <w:rPr>
                <w:b/>
                <w:color w:val="FFFFFF"/>
                <w:sz w:val="19"/>
              </w:rPr>
              <w:t>Proposed Smart Framework</w:t>
            </w:r>
          </w:p>
        </w:tc>
      </w:tr>
      <w:tr w:rsidR="00850178" w14:paraId="08C8D387" w14:textId="77777777">
        <w:trPr>
          <w:jc w:val="center"/>
        </w:trPr>
        <w:tc>
          <w:tcPr>
            <w:tcW w:w="2340" w:type="dxa"/>
            <w:shd w:val="clear" w:color="auto" w:fill="FFFFFF"/>
          </w:tcPr>
          <w:p w14:paraId="1BDB5DD4" w14:textId="77777777" w:rsidR="00850178" w:rsidRDefault="00000000">
            <w:r>
              <w:rPr>
                <w:b/>
                <w:sz w:val="19"/>
              </w:rPr>
              <w:t>Primary Analytics Scope</w:t>
            </w:r>
          </w:p>
        </w:tc>
        <w:tc>
          <w:tcPr>
            <w:tcW w:w="2340" w:type="dxa"/>
            <w:shd w:val="clear" w:color="auto" w:fill="FFFFFF"/>
          </w:tcPr>
          <w:p w14:paraId="49AB5366" w14:textId="77777777" w:rsidR="00850178" w:rsidRDefault="00000000">
            <w:r>
              <w:rPr>
                <w:sz w:val="19"/>
              </w:rPr>
              <w:t>Historical / Descriptive</w:t>
            </w:r>
          </w:p>
        </w:tc>
        <w:tc>
          <w:tcPr>
            <w:tcW w:w="2340" w:type="dxa"/>
            <w:shd w:val="clear" w:color="auto" w:fill="FFFFFF"/>
          </w:tcPr>
          <w:p w14:paraId="4CAB5189" w14:textId="77777777" w:rsidR="00850178" w:rsidRDefault="00000000">
            <w:r>
              <w:rPr>
                <w:sz w:val="19"/>
              </w:rPr>
              <w:t>Offline Predictive Modeling</w:t>
            </w:r>
          </w:p>
        </w:tc>
        <w:tc>
          <w:tcPr>
            <w:tcW w:w="2340" w:type="dxa"/>
            <w:shd w:val="clear" w:color="auto" w:fill="FFFFFF"/>
          </w:tcPr>
          <w:p w14:paraId="6363DAAC" w14:textId="77777777" w:rsidR="00850178" w:rsidRDefault="00000000">
            <w:r>
              <w:rPr>
                <w:b/>
                <w:sz w:val="19"/>
              </w:rPr>
              <w:t>Real-Time Predictive &amp; Prescriptive</w:t>
            </w:r>
          </w:p>
        </w:tc>
      </w:tr>
      <w:tr w:rsidR="00850178" w14:paraId="0789CE5A" w14:textId="77777777">
        <w:trPr>
          <w:jc w:val="center"/>
        </w:trPr>
        <w:tc>
          <w:tcPr>
            <w:tcW w:w="2340" w:type="dxa"/>
            <w:shd w:val="clear" w:color="auto" w:fill="F7FAFC"/>
          </w:tcPr>
          <w:p w14:paraId="1B6789C2" w14:textId="77777777" w:rsidR="00850178" w:rsidRDefault="00000000">
            <w:r>
              <w:rPr>
                <w:b/>
                <w:sz w:val="19"/>
              </w:rPr>
              <w:t>Data Ingestion Mode</w:t>
            </w:r>
          </w:p>
        </w:tc>
        <w:tc>
          <w:tcPr>
            <w:tcW w:w="2340" w:type="dxa"/>
            <w:shd w:val="clear" w:color="auto" w:fill="F7FAFC"/>
          </w:tcPr>
          <w:p w14:paraId="6E1C954A" w14:textId="77777777" w:rsidR="00850178" w:rsidRDefault="00000000">
            <w:r>
              <w:rPr>
                <w:sz w:val="19"/>
              </w:rPr>
              <w:t>Scheduled Batch ETL</w:t>
            </w:r>
          </w:p>
        </w:tc>
        <w:tc>
          <w:tcPr>
            <w:tcW w:w="2340" w:type="dxa"/>
            <w:shd w:val="clear" w:color="auto" w:fill="F7FAFC"/>
          </w:tcPr>
          <w:p w14:paraId="59983277" w14:textId="77777777" w:rsidR="00850178" w:rsidRDefault="00000000">
            <w:r>
              <w:rPr>
                <w:sz w:val="19"/>
              </w:rPr>
              <w:t>Static CSV / File Extracts</w:t>
            </w:r>
          </w:p>
        </w:tc>
        <w:tc>
          <w:tcPr>
            <w:tcW w:w="2340" w:type="dxa"/>
            <w:shd w:val="clear" w:color="auto" w:fill="F7FAFC"/>
          </w:tcPr>
          <w:p w14:paraId="3ED4DF5D" w14:textId="77777777" w:rsidR="00850178" w:rsidRDefault="00000000">
            <w:r>
              <w:rPr>
                <w:b/>
                <w:sz w:val="19"/>
              </w:rPr>
              <w:t>Unified Stream &amp; Batch Feature Store</w:t>
            </w:r>
          </w:p>
        </w:tc>
      </w:tr>
      <w:tr w:rsidR="00850178" w14:paraId="4023E7FA" w14:textId="77777777">
        <w:trPr>
          <w:jc w:val="center"/>
        </w:trPr>
        <w:tc>
          <w:tcPr>
            <w:tcW w:w="2340" w:type="dxa"/>
            <w:shd w:val="clear" w:color="auto" w:fill="FFFFFF"/>
          </w:tcPr>
          <w:p w14:paraId="4CBE04D2" w14:textId="77777777" w:rsidR="00850178" w:rsidRDefault="00000000">
            <w:r>
              <w:rPr>
                <w:b/>
                <w:sz w:val="19"/>
              </w:rPr>
              <w:t>Model Interpretability</w:t>
            </w:r>
          </w:p>
        </w:tc>
        <w:tc>
          <w:tcPr>
            <w:tcW w:w="2340" w:type="dxa"/>
            <w:shd w:val="clear" w:color="auto" w:fill="FFFFFF"/>
          </w:tcPr>
          <w:p w14:paraId="30CBD9FC" w14:textId="77777777" w:rsidR="00850178" w:rsidRDefault="00000000">
            <w:r>
              <w:rPr>
                <w:sz w:val="19"/>
              </w:rPr>
              <w:t>High (Simple Aggregates)</w:t>
            </w:r>
          </w:p>
        </w:tc>
        <w:tc>
          <w:tcPr>
            <w:tcW w:w="2340" w:type="dxa"/>
            <w:shd w:val="clear" w:color="auto" w:fill="FFFFFF"/>
          </w:tcPr>
          <w:p w14:paraId="17766F64" w14:textId="77777777" w:rsidR="00850178" w:rsidRDefault="00000000">
            <w:r>
              <w:rPr>
                <w:sz w:val="19"/>
              </w:rPr>
              <w:t>Low (Black-Box ML Outputs)</w:t>
            </w:r>
          </w:p>
        </w:tc>
        <w:tc>
          <w:tcPr>
            <w:tcW w:w="2340" w:type="dxa"/>
            <w:shd w:val="clear" w:color="auto" w:fill="FFFFFF"/>
          </w:tcPr>
          <w:p w14:paraId="359C16D0" w14:textId="77777777" w:rsidR="00850178" w:rsidRDefault="00000000">
            <w:r>
              <w:rPr>
                <w:b/>
                <w:sz w:val="19"/>
              </w:rPr>
              <w:t>High (Embedded UI SHAP Explanations)</w:t>
            </w:r>
          </w:p>
        </w:tc>
      </w:tr>
      <w:tr w:rsidR="00850178" w14:paraId="2601179B" w14:textId="77777777">
        <w:trPr>
          <w:jc w:val="center"/>
        </w:trPr>
        <w:tc>
          <w:tcPr>
            <w:tcW w:w="2340" w:type="dxa"/>
            <w:shd w:val="clear" w:color="auto" w:fill="F7FAFC"/>
          </w:tcPr>
          <w:p w14:paraId="3C87476C" w14:textId="77777777" w:rsidR="00850178" w:rsidRDefault="00000000">
            <w:r>
              <w:rPr>
                <w:b/>
                <w:sz w:val="19"/>
              </w:rPr>
              <w:t>Operational Friction</w:t>
            </w:r>
          </w:p>
        </w:tc>
        <w:tc>
          <w:tcPr>
            <w:tcW w:w="2340" w:type="dxa"/>
            <w:shd w:val="clear" w:color="auto" w:fill="F7FAFC"/>
          </w:tcPr>
          <w:p w14:paraId="2CCBDFC4" w14:textId="77777777" w:rsidR="00850178" w:rsidRDefault="00000000">
            <w:r>
              <w:rPr>
                <w:sz w:val="19"/>
              </w:rPr>
              <w:t>High (Manual Reporting)</w:t>
            </w:r>
          </w:p>
        </w:tc>
        <w:tc>
          <w:tcPr>
            <w:tcW w:w="2340" w:type="dxa"/>
            <w:shd w:val="clear" w:color="auto" w:fill="F7FAFC"/>
          </w:tcPr>
          <w:p w14:paraId="24541A67" w14:textId="77777777" w:rsidR="00850178" w:rsidRDefault="00000000">
            <w:r>
              <w:rPr>
                <w:sz w:val="19"/>
              </w:rPr>
              <w:t>Medium (Disconnected Insights)</w:t>
            </w:r>
          </w:p>
        </w:tc>
        <w:tc>
          <w:tcPr>
            <w:tcW w:w="2340" w:type="dxa"/>
            <w:shd w:val="clear" w:color="auto" w:fill="F7FAFC"/>
          </w:tcPr>
          <w:p w14:paraId="49859DBC" w14:textId="77777777" w:rsidR="00850178" w:rsidRDefault="00000000">
            <w:r>
              <w:rPr>
                <w:b/>
                <w:sz w:val="19"/>
              </w:rPr>
              <w:t>Low (Automated Actionable Alerts)</w:t>
            </w:r>
          </w:p>
        </w:tc>
      </w:tr>
      <w:tr w:rsidR="00850178" w14:paraId="756234D5" w14:textId="77777777">
        <w:trPr>
          <w:jc w:val="center"/>
        </w:trPr>
        <w:tc>
          <w:tcPr>
            <w:tcW w:w="2340" w:type="dxa"/>
            <w:shd w:val="clear" w:color="auto" w:fill="FFFFFF"/>
          </w:tcPr>
          <w:p w14:paraId="12F354C7" w14:textId="77777777" w:rsidR="00850178" w:rsidRDefault="00000000">
            <w:r>
              <w:rPr>
                <w:b/>
                <w:sz w:val="19"/>
              </w:rPr>
              <w:t>UI Inference Latency</w:t>
            </w:r>
          </w:p>
        </w:tc>
        <w:tc>
          <w:tcPr>
            <w:tcW w:w="2340" w:type="dxa"/>
            <w:shd w:val="clear" w:color="auto" w:fill="FFFFFF"/>
          </w:tcPr>
          <w:p w14:paraId="1C080400" w14:textId="77777777" w:rsidR="00850178" w:rsidRDefault="00000000">
            <w:r>
              <w:rPr>
                <w:sz w:val="19"/>
              </w:rPr>
              <w:t>N/A (Pre-calculated)</w:t>
            </w:r>
          </w:p>
        </w:tc>
        <w:tc>
          <w:tcPr>
            <w:tcW w:w="2340" w:type="dxa"/>
            <w:shd w:val="clear" w:color="auto" w:fill="FFFFFF"/>
          </w:tcPr>
          <w:p w14:paraId="7A8E4631" w14:textId="77777777" w:rsidR="00850178" w:rsidRDefault="00000000">
            <w:r>
              <w:rPr>
                <w:sz w:val="19"/>
              </w:rPr>
              <w:t>Offline Scoring (Hours)</w:t>
            </w:r>
          </w:p>
        </w:tc>
        <w:tc>
          <w:tcPr>
            <w:tcW w:w="2340" w:type="dxa"/>
            <w:shd w:val="clear" w:color="auto" w:fill="FFFFFF"/>
          </w:tcPr>
          <w:p w14:paraId="3F27CFF8" w14:textId="77777777" w:rsidR="00850178" w:rsidRDefault="00000000">
            <w:r>
              <w:rPr>
                <w:b/>
                <w:sz w:val="19"/>
              </w:rPr>
              <w:t>Real-time Sub-10ms Scoring</w:t>
            </w:r>
          </w:p>
        </w:tc>
      </w:tr>
    </w:tbl>
    <w:p w14:paraId="5391C41E" w14:textId="77777777" w:rsidR="00850178" w:rsidRDefault="00850178">
      <w:pPr>
        <w:spacing w:after="120"/>
      </w:pPr>
    </w:p>
    <w:p w14:paraId="1A1D8CBD" w14:textId="77777777" w:rsidR="00850178" w:rsidRDefault="00000000">
      <w:pPr>
        <w:keepNext/>
        <w:spacing w:before="360" w:after="120"/>
      </w:pPr>
      <w:r>
        <w:rPr>
          <w:b/>
          <w:color w:val="1A365D"/>
          <w:sz w:val="28"/>
        </w:rPr>
        <w:t>3. PROPOSED METHODOLOGY AND ARCHITECTURE</w:t>
      </w:r>
    </w:p>
    <w:p w14:paraId="7AAD0054" w14:textId="77777777" w:rsidR="00850178" w:rsidRDefault="00000000">
      <w:pPr>
        <w:keepNext/>
        <w:spacing w:before="280" w:after="80"/>
      </w:pPr>
      <w:r>
        <w:rPr>
          <w:b/>
          <w:color w:val="2B6CB0"/>
          <w:sz w:val="24"/>
        </w:rPr>
        <w:t>3.1 Overall Architectural Framework</w:t>
      </w:r>
    </w:p>
    <w:p w14:paraId="59F29644" w14:textId="77777777" w:rsidR="00850178" w:rsidRDefault="00000000">
      <w:pPr>
        <w:spacing w:after="120"/>
      </w:pPr>
      <w:r>
        <w:t>The proposed Smart Business Analytics Dashboard architecture is designed as a modular four-tier enterprise system: (1) Ingestion &amp; Data Sources Layer, (2) Streaming &amp; Feature Store Layer, (3) Predictive ML &amp; XAI Engine, and (4) User Interface Visualization Layer. Figure 1 illustrates the end-to-end data flow across these decoupled architectural tiers.</w:t>
      </w:r>
    </w:p>
    <w:p w14:paraId="4A7BA35E" w14:textId="77777777" w:rsidR="00850178" w:rsidRDefault="00000000">
      <w:pPr>
        <w:spacing w:before="200"/>
        <w:jc w:val="center"/>
      </w:pPr>
      <w:r>
        <w:rPr>
          <w:noProof/>
        </w:rPr>
        <w:lastRenderedPageBreak/>
        <w:drawing>
          <wp:inline distT="0" distB="0" distL="0" distR="0" wp14:anchorId="5B6E5791" wp14:editId="33223B34">
            <wp:extent cx="5852160" cy="2893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5852160" cy="2893203"/>
                    </a:xfrm>
                    <a:prstGeom prst="rect">
                      <a:avLst/>
                    </a:prstGeom>
                  </pic:spPr>
                </pic:pic>
              </a:graphicData>
            </a:graphic>
          </wp:inline>
        </w:drawing>
      </w:r>
    </w:p>
    <w:p w14:paraId="04371FE0" w14:textId="77777777" w:rsidR="00850178" w:rsidRDefault="00000000">
      <w:pPr>
        <w:keepNext/>
        <w:spacing w:before="280" w:after="80"/>
      </w:pPr>
      <w:r>
        <w:rPr>
          <w:b/>
          <w:color w:val="2B6CB0"/>
          <w:sz w:val="24"/>
        </w:rPr>
        <w:t>3.2 Ingestion &amp; Feature Store Architecture</w:t>
      </w:r>
    </w:p>
    <w:p w14:paraId="51CE75DE" w14:textId="77777777" w:rsidR="00850178" w:rsidRDefault="00000000">
      <w:pPr>
        <w:spacing w:after="120"/>
      </w:pPr>
      <w:r>
        <w:t>High-velocity storefront clickstream events (such as page view durations, search query strings, product page hover events, and add-to-cart actions) are captured via lightweight JavaScript telemetry and published directly to an Apache Kafka event streaming bus. Concurrently, transactional database mutations (orders, payment updates, customer support tickets) are captured using Change Data Capture (CDC) via Debezium and published to separate Kafka topics.</w:t>
      </w:r>
    </w:p>
    <w:p w14:paraId="788CA6E7" w14:textId="77777777" w:rsidR="00850178" w:rsidRDefault="00000000">
      <w:pPr>
        <w:spacing w:after="120"/>
      </w:pPr>
      <w:r>
        <w:t>To unify real-time session features with historical background statistics, we implement a dual-tier Feature Store architecture using Feast:</w:t>
      </w:r>
    </w:p>
    <w:p w14:paraId="46EBE347" w14:textId="77777777" w:rsidR="00850178" w:rsidRDefault="00000000">
      <w:pPr>
        <w:pStyle w:val="ListBullet"/>
        <w:spacing w:after="80"/>
      </w:pPr>
      <w:r>
        <w:rPr>
          <w:b/>
        </w:rPr>
        <w:t xml:space="preserve">1. Online Feature Store (Redis): </w:t>
      </w:r>
      <w:r>
        <w:t>Stores ultra-low-latency, real-time aggregate features calculated over sliding windows (e.g., cart abandonments in the last 15 minutes, current session page depth, spending drift over the past 30 days). Access latency is maintained under 2 milliseconds.</w:t>
      </w:r>
    </w:p>
    <w:p w14:paraId="627B0244" w14:textId="77777777" w:rsidR="00850178" w:rsidRDefault="00000000">
      <w:pPr>
        <w:pStyle w:val="ListBullet"/>
        <w:spacing w:after="80"/>
      </w:pPr>
      <w:r>
        <w:rPr>
          <w:b/>
        </w:rPr>
        <w:t xml:space="preserve">2. Offline Feature Store (Snowflake / BigQuery): </w:t>
      </w:r>
      <w:r>
        <w:t>Stores historical long-term batch metrics (e.g., 365-day total spend, lifetime return rate, average order interval). Used primarily for model retraining and offline batch evaluations.</w:t>
      </w:r>
    </w:p>
    <w:p w14:paraId="2412E4FD" w14:textId="77777777" w:rsidR="00850178" w:rsidRDefault="00000000">
      <w:pPr>
        <w:keepNext/>
        <w:spacing w:before="280" w:after="80"/>
      </w:pPr>
      <w:r>
        <w:rPr>
          <w:b/>
          <w:color w:val="2B6CB0"/>
          <w:sz w:val="24"/>
        </w:rPr>
        <w:t>3.3 Dataset Description and Characterization</w:t>
      </w:r>
    </w:p>
    <w:p w14:paraId="03E7822C" w14:textId="77777777" w:rsidR="00850178" w:rsidRDefault="00000000">
      <w:pPr>
        <w:spacing w:after="120"/>
      </w:pPr>
      <w:r>
        <w:t>The empirical validation of our framework is conducted on a multi-source e-commerce benchmark dataset aggregated from 24 months of operational logs. The benchmark dataset comprises three core data entities:</w:t>
      </w:r>
    </w:p>
    <w:p w14:paraId="637997AA" w14:textId="77777777" w:rsidR="00850178" w:rsidRDefault="00000000">
      <w:pPr>
        <w:pStyle w:val="ListBullet"/>
        <w:spacing w:after="80"/>
      </w:pPr>
      <w:r>
        <w:rPr>
          <w:b/>
        </w:rPr>
        <w:t xml:space="preserve">• Customer Profiles: </w:t>
      </w:r>
      <w:r>
        <w:t>150,000 unique customer accounts with demographic indicators, sign-up channel attribution, and geographic location tags.</w:t>
      </w:r>
    </w:p>
    <w:p w14:paraId="4ABC521D" w14:textId="77777777" w:rsidR="00850178" w:rsidRDefault="00000000">
      <w:pPr>
        <w:pStyle w:val="ListBullet"/>
        <w:spacing w:after="80"/>
      </w:pPr>
      <w:r>
        <w:rPr>
          <w:b/>
        </w:rPr>
        <w:t xml:space="preserve">• Transactional Records: </w:t>
      </w:r>
      <w:r>
        <w:t>1,245,800 validated purchase orders detailing product SKUs, net order values, discount codes applied, shipping delays, and return flags.</w:t>
      </w:r>
    </w:p>
    <w:p w14:paraId="35A6F7F4" w14:textId="77777777" w:rsidR="00850178" w:rsidRDefault="00000000">
      <w:pPr>
        <w:pStyle w:val="ListBullet"/>
        <w:spacing w:after="80"/>
      </w:pPr>
      <w:r>
        <w:rPr>
          <w:b/>
        </w:rPr>
        <w:t xml:space="preserve">• Web Clickstream Logs: </w:t>
      </w:r>
      <w:r>
        <w:t>4,520,000 raw web session events containing timestamped URL paths, search queries, cart modifications, and device context attributes.</w:t>
      </w:r>
    </w:p>
    <w:p w14:paraId="6183282D" w14:textId="77777777" w:rsidR="00850178" w:rsidRDefault="00000000">
      <w:pPr>
        <w:keepNext/>
        <w:spacing w:before="280" w:after="80"/>
      </w:pPr>
      <w:r>
        <w:rPr>
          <w:b/>
          <w:color w:val="2B6CB0"/>
          <w:sz w:val="24"/>
        </w:rPr>
        <w:lastRenderedPageBreak/>
        <w:t>3.4 Data Preprocessing and Cleaning Pipelines</w:t>
      </w:r>
    </w:p>
    <w:p w14:paraId="7FA92CB2" w14:textId="77777777" w:rsidR="00850178" w:rsidRDefault="00000000">
      <w:pPr>
        <w:spacing w:after="120"/>
      </w:pPr>
      <w:r>
        <w:t>Data preprocessing is automated within Apache Airflow DAGs to ensure reproducibility and prevent data leakage:</w:t>
      </w:r>
    </w:p>
    <w:p w14:paraId="1824AD84" w14:textId="77777777" w:rsidR="00850178" w:rsidRDefault="00000000">
      <w:pPr>
        <w:pStyle w:val="ListBullet"/>
        <w:spacing w:after="80"/>
      </w:pPr>
      <w:r>
        <w:rPr>
          <w:b/>
        </w:rPr>
        <w:t xml:space="preserve">• Missing Value Strategy: </w:t>
      </w:r>
      <w:r>
        <w:t>Continuous numerical attributes (e.g., session duration) with missing entries are imputed using median values computed per customer segment. Categorical features with missing values are populated with an explicit token ('UNKNOWN').</w:t>
      </w:r>
    </w:p>
    <w:p w14:paraId="52215660" w14:textId="77777777" w:rsidR="00850178" w:rsidRDefault="00000000">
      <w:pPr>
        <w:pStyle w:val="ListBullet"/>
        <w:spacing w:after="80"/>
      </w:pPr>
      <w:r>
        <w:rPr>
          <w:b/>
        </w:rPr>
        <w:t xml:space="preserve">• Outlier Treatment: </w:t>
      </w:r>
      <w:r>
        <w:t>Monetary attributes exhibit heavy right-skewness. Winsorization is applied to spending metrics at the 99th percentile to prevent model divergence during optimization.</w:t>
      </w:r>
    </w:p>
    <w:p w14:paraId="63FB8E45" w14:textId="77777777" w:rsidR="00850178" w:rsidRDefault="00000000">
      <w:pPr>
        <w:pStyle w:val="ListBullet"/>
        <w:spacing w:after="80"/>
      </w:pPr>
      <w:r>
        <w:rPr>
          <w:b/>
        </w:rPr>
        <w:t xml:space="preserve">• Encoding Strategies: </w:t>
      </w:r>
      <w:r>
        <w:t>High-cardinality categorical attributes (e.g., product category codes, shipping postal codes) are target-encoded with smooth out-of-fold regularizers for tree-based models, while one-hot encoding is reserved for linear baselines.</w:t>
      </w:r>
    </w:p>
    <w:p w14:paraId="448DCE66" w14:textId="77777777" w:rsidR="00850178" w:rsidRDefault="00000000">
      <w:pPr>
        <w:keepNext/>
        <w:spacing w:before="280" w:after="80"/>
      </w:pPr>
      <w:r>
        <w:rPr>
          <w:b/>
          <w:color w:val="2B6CB0"/>
          <w:sz w:val="24"/>
        </w:rPr>
        <w:t>3.5 Feature Engineering and Selection Formulations</w:t>
      </w:r>
    </w:p>
    <w:p w14:paraId="0F33F706" w14:textId="77777777" w:rsidR="00850178" w:rsidRDefault="00000000">
      <w:pPr>
        <w:spacing w:after="120"/>
      </w:pPr>
      <w:r>
        <w:t>We engineered 142 candidate attributes across RFM metrics, behavioral ratio dynamics, and temporal drift indicators. Key engineered variables include:</w:t>
      </w:r>
    </w:p>
    <w:p w14:paraId="57985E18" w14:textId="77777777" w:rsidR="00850178" w:rsidRDefault="00000000">
      <w:pPr>
        <w:pStyle w:val="ListBullet"/>
        <w:spacing w:after="80"/>
      </w:pPr>
      <w:r>
        <w:rPr>
          <w:b/>
        </w:rPr>
        <w:t xml:space="preserve">1. RFM Metrics: </w:t>
      </w:r>
      <w:r>
        <w:t>Recency $R$ (days since last confirmed order), Frequency $F$ (total completed order count over 90 days), and Monetary Value $M$ (total net order expenditure).</w:t>
      </w:r>
    </w:p>
    <w:p w14:paraId="0B5EB269" w14:textId="77777777" w:rsidR="00850178" w:rsidRDefault="00000000">
      <w:pPr>
        <w:pStyle w:val="ListBullet"/>
        <w:spacing w:after="80"/>
      </w:pPr>
      <w:r>
        <w:rPr>
          <w:b/>
        </w:rPr>
        <w:t xml:space="preserve">2. Behavioral Ratios: </w:t>
      </w:r>
      <w:r>
        <w:t>Cart Abandonment Ratio CAR = (Carts Abandoned / Total Sessions) and Search-to-Buy Conversion Ratio SBR = (Completed Orders / Product Searches).</w:t>
      </w:r>
    </w:p>
    <w:p w14:paraId="4AEF2B01" w14:textId="77777777" w:rsidR="00850178" w:rsidRDefault="00000000">
      <w:pPr>
        <w:pStyle w:val="ListBullet"/>
        <w:spacing w:after="80"/>
      </w:pPr>
      <w:r>
        <w:rPr>
          <w:b/>
        </w:rPr>
        <w:t xml:space="preserve">3. Temporal Spending Drift: </w:t>
      </w:r>
      <w:r>
        <w:t>Measures short-term acceleration or deceleration in customer spending over rolling temporal windows:</w:t>
      </w:r>
    </w:p>
    <w:p w14:paraId="54519C6E" w14:textId="77777777" w:rsidR="00850178" w:rsidRDefault="00000000">
      <w:pPr>
        <w:spacing w:after="80"/>
      </w:pPr>
      <w:r>
        <w:t>Spend Drift (30/90) = Spend_30 / (Spend_90 / 3 + epsilon)</w:t>
      </w:r>
    </w:p>
    <w:p w14:paraId="59EB0459" w14:textId="77777777" w:rsidR="00850178" w:rsidRDefault="00000000">
      <w:pPr>
        <w:spacing w:after="120"/>
      </w:pPr>
      <w:r>
        <w:t>Feature selection was conducted using Recursive Feature Elimination with Cross-Validation (RFECV) combined with Mutual Information scoring. The top 32 most informative features were retained, reducing feature dimensionality by 77.4% while preserving 98.6% of predictive capacity.</w:t>
      </w:r>
    </w:p>
    <w:p w14:paraId="2812A2C0" w14:textId="77777777" w:rsidR="00850178" w:rsidRDefault="00000000">
      <w:pPr>
        <w:keepNext/>
        <w:spacing w:before="280" w:after="80"/>
      </w:pPr>
      <w:r>
        <w:rPr>
          <w:b/>
          <w:color w:val="2B6CB0"/>
          <w:sz w:val="24"/>
        </w:rPr>
        <w:t>3.6 Machine Learning Engine and Mathematical Formulations</w:t>
      </w:r>
    </w:p>
    <w:p w14:paraId="6DFA601C" w14:textId="77777777" w:rsidR="00850178" w:rsidRDefault="00000000">
      <w:pPr>
        <w:spacing w:after="120"/>
      </w:pPr>
      <w:r>
        <w:t>The core predictive engine implements LightGBM (Light Gradient Boosting Machine) as the primary classifier for customer churn prediction and regressor for sales/CLV estimation.</w:t>
      </w:r>
    </w:p>
    <w:p w14:paraId="39461380" w14:textId="77777777" w:rsidR="00850178" w:rsidRDefault="00000000">
      <w:pPr>
        <w:keepNext/>
        <w:spacing w:before="200" w:after="40"/>
      </w:pPr>
      <w:r>
        <w:rPr>
          <w:b/>
          <w:i/>
        </w:rPr>
        <w:t>3.6.1 LightGBM Formulation</w:t>
      </w:r>
    </w:p>
    <w:p w14:paraId="5066DCC2" w14:textId="77777777" w:rsidR="00850178" w:rsidRDefault="00000000">
      <w:pPr>
        <w:spacing w:after="120"/>
      </w:pPr>
      <w:r>
        <w:t>LightGBM minimizes a regularized objective function L(theta) at iteration t using Gradient-based One-Side Sampling (GOSS) and Exclusive Feature Bundling (EFB):</w:t>
      </w:r>
    </w:p>
    <w:p w14:paraId="152FCE5A" w14:textId="77777777" w:rsidR="00850178" w:rsidRDefault="00000000">
      <w:pPr>
        <w:spacing w:after="80"/>
      </w:pPr>
      <w:r>
        <w:t>L^(t) = sum_{i=1}^{n} l(y_i, hat{y}_i^(t-1) + f_t(x_i)) + Omega(f_t)</w:t>
      </w:r>
    </w:p>
    <w:p w14:paraId="660C1E4C" w14:textId="77777777" w:rsidR="00850178" w:rsidRDefault="00000000">
      <w:pPr>
        <w:spacing w:after="120"/>
      </w:pPr>
      <w:r>
        <w:t>Where l represents the loss function (logarithmic loss for churn classification, squared error for sales regression), f_t denotes the leaf tree structure added at step t, and Omega(f_t) regularizes tree complexity.</w:t>
      </w:r>
    </w:p>
    <w:p w14:paraId="79F32E03" w14:textId="77777777" w:rsidR="00850178" w:rsidRDefault="00000000">
      <w:pPr>
        <w:keepNext/>
        <w:spacing w:before="200" w:after="40"/>
      </w:pPr>
      <w:r>
        <w:rPr>
          <w:b/>
          <w:i/>
        </w:rPr>
        <w:t>3.6.2 Explainable AI Formulation (TreeSHAP)</w:t>
      </w:r>
    </w:p>
    <w:p w14:paraId="01391238" w14:textId="77777777" w:rsidR="00850178" w:rsidRDefault="00000000">
      <w:pPr>
        <w:spacing w:after="120"/>
      </w:pPr>
      <w:r>
        <w:t>To provide local explanation vectors Phi_u for customer vector X_u, TreeSHAP computes the conditional expectation of model outputs across all feature subsets S in F without {i}:</w:t>
      </w:r>
    </w:p>
    <w:p w14:paraId="057C9BD4" w14:textId="77777777" w:rsidR="00850178" w:rsidRDefault="00000000">
      <w:pPr>
        <w:spacing w:after="80"/>
      </w:pPr>
      <w:r>
        <w:t>phi_i(x) = sum_{S in F without {i}} (|S|!(|F| - |S| - 1)! / |F|!) * [f_x(S u {i}) - f_x(S)]</w:t>
      </w:r>
    </w:p>
    <w:p w14:paraId="1872D150" w14:textId="77777777" w:rsidR="00850178" w:rsidRDefault="00000000">
      <w:pPr>
        <w:spacing w:after="120"/>
      </w:pPr>
      <w:r>
        <w:lastRenderedPageBreak/>
        <w:t>Where |F| is the total feature count, and f_x(S) is the expected value of the prediction conditioned on feature subset S.</w:t>
      </w:r>
    </w:p>
    <w:p w14:paraId="07D49901" w14:textId="77777777" w:rsidR="00850178" w:rsidRDefault="00000000">
      <w:pPr>
        <w:keepNext/>
        <w:spacing w:before="280" w:after="80"/>
      </w:pPr>
      <w:r>
        <w:rPr>
          <w:b/>
          <w:color w:val="2B6CB0"/>
          <w:sz w:val="24"/>
        </w:rPr>
        <w:t>3.7 System Pipeline Algorithm</w:t>
      </w:r>
    </w:p>
    <w:p w14:paraId="01FE72A5" w14:textId="77777777" w:rsidR="00850178" w:rsidRDefault="00000000">
      <w:pPr>
        <w:spacing w:after="120"/>
      </w:pPr>
      <w:r>
        <w:t>The end-to-end execution flow of the real-time prediction and explainability engine is defined in Algorithm 1.</w:t>
      </w:r>
    </w:p>
    <w:tbl>
      <w:tblPr>
        <w:tblW w:w="0" w:type="auto"/>
        <w:jc w:val="center"/>
        <w:tblLook w:val="04A0" w:firstRow="1" w:lastRow="0" w:firstColumn="1" w:lastColumn="0" w:noHBand="0" w:noVBand="1"/>
      </w:tblPr>
      <w:tblGrid>
        <w:gridCol w:w="9360"/>
      </w:tblGrid>
      <w:tr w:rsidR="00850178" w14:paraId="004CCCA4" w14:textId="77777777">
        <w:trPr>
          <w:jc w:val="center"/>
        </w:trPr>
        <w:tc>
          <w:tcPr>
            <w:tcW w:w="9360" w:type="dxa"/>
            <w:shd w:val="clear" w:color="auto" w:fill="F7FAFC"/>
            <w:tcMar>
              <w:top w:w="100" w:type="dxa"/>
              <w:left w:w="150" w:type="dxa"/>
              <w:bottom w:w="100" w:type="dxa"/>
              <w:right w:w="150" w:type="dxa"/>
            </w:tcMar>
          </w:tcPr>
          <w:p w14:paraId="1980E137" w14:textId="77777777" w:rsidR="00850178" w:rsidRDefault="00000000">
            <w:pPr>
              <w:spacing w:after="40"/>
            </w:pPr>
            <w:r>
              <w:rPr>
                <w:b/>
                <w:color w:val="1A365D"/>
                <w:sz w:val="19"/>
              </w:rPr>
              <w:t>Algorithm 1: Real-Time Smart Dashboard Prediction and XAI Orchestration</w:t>
            </w:r>
            <w:r>
              <w:rPr>
                <w:b/>
                <w:color w:val="1A365D"/>
                <w:sz w:val="19"/>
              </w:rPr>
              <w:br/>
            </w:r>
            <w:r>
              <w:rPr>
                <w:rFonts w:ascii="Courier New" w:hAnsi="Courier New"/>
                <w:sz w:val="17"/>
              </w:rPr>
              <w:t>Input  : Customer ID u, Real-time Event Stream E_u, Model M, Feature Store FS</w:t>
            </w:r>
            <w:r>
              <w:rPr>
                <w:rFonts w:ascii="Courier New" w:hAnsi="Courier New"/>
                <w:sz w:val="17"/>
              </w:rPr>
              <w:br/>
              <w:t>Output : Churn Probability P_u, Predicted CLV C_u, Local SHAP Feature Explanations Phi_u</w:t>
            </w:r>
            <w:r>
              <w:rPr>
                <w:rFonts w:ascii="Courier New" w:hAnsi="Courier New"/>
                <w:sz w:val="17"/>
              </w:rPr>
              <w:br/>
              <w:t>1: Fetch real-time session features X_online from Redis Online FS for User u</w:t>
            </w:r>
            <w:r>
              <w:rPr>
                <w:rFonts w:ascii="Courier New" w:hAnsi="Courier New"/>
                <w:sz w:val="17"/>
              </w:rPr>
              <w:br/>
              <w:t>2: Fetch historical static attributes X_offline from Snowflake Offline FS for User u</w:t>
            </w:r>
            <w:r>
              <w:rPr>
                <w:rFonts w:ascii="Courier New" w:hAnsi="Courier New"/>
                <w:sz w:val="17"/>
              </w:rPr>
              <w:br/>
              <w:t>3: Concatenate combined feature vector: X_u = [X_online, X_offline]</w:t>
            </w:r>
            <w:r>
              <w:rPr>
                <w:rFonts w:ascii="Courier New" w:hAnsi="Courier New"/>
                <w:sz w:val="17"/>
              </w:rPr>
              <w:br/>
              <w:t>4: Compute Churn Probability Score: P_u = M_churn.predict_proba(X_u)</w:t>
            </w:r>
            <w:r>
              <w:rPr>
                <w:rFonts w:ascii="Courier New" w:hAnsi="Courier New"/>
                <w:sz w:val="17"/>
              </w:rPr>
              <w:br/>
              <w:t>5: Compute Predicted 90-Day CLV Value: C_u = M_clv.predict(X_u)</w:t>
            </w:r>
            <w:r>
              <w:rPr>
                <w:rFonts w:ascii="Courier New" w:hAnsi="Courier New"/>
                <w:sz w:val="17"/>
              </w:rPr>
              <w:br/>
              <w:t>6: IF P_u &gt;= 0.70 (High Risk Threshold) THEN</w:t>
            </w:r>
            <w:r>
              <w:rPr>
                <w:rFonts w:ascii="Courier New" w:hAnsi="Courier New"/>
                <w:sz w:val="17"/>
              </w:rPr>
              <w:br/>
              <w:t>7:     Compute Local Shapley Attribution Vector: Phi_u = TreeSHAP(M_churn, X_u)</w:t>
            </w:r>
            <w:r>
              <w:rPr>
                <w:rFonts w:ascii="Courier New" w:hAnsi="Courier New"/>
                <w:sz w:val="17"/>
              </w:rPr>
              <w:br/>
              <w:t>8:     Extract Top-3 Positive Risk Contributors: Expl_pos = Sort_Descending(Phi_u[Phi_u &gt; 0])[1:3]</w:t>
            </w:r>
            <w:r>
              <w:rPr>
                <w:rFonts w:ascii="Courier New" w:hAnsi="Courier New"/>
                <w:sz w:val="17"/>
              </w:rPr>
              <w:br/>
              <w:t>9:     Generate Prescriptive Interventions (e.g., Issue Automated Retargeting Discount)</w:t>
            </w:r>
            <w:r>
              <w:rPr>
                <w:rFonts w:ascii="Courier New" w:hAnsi="Courier New"/>
                <w:sz w:val="17"/>
              </w:rPr>
              <w:br/>
              <w:t>10: END IF</w:t>
            </w:r>
            <w:r>
              <w:rPr>
                <w:rFonts w:ascii="Courier New" w:hAnsi="Courier New"/>
                <w:sz w:val="17"/>
              </w:rPr>
              <w:br/>
              <w:t>11: Construct JSON API Payload {user_id: u, risk_score: P_u, clv: C_u, shap_drivers: Expl_pos}</w:t>
            </w:r>
            <w:r>
              <w:rPr>
                <w:rFonts w:ascii="Courier New" w:hAnsi="Courier New"/>
                <w:sz w:val="17"/>
              </w:rPr>
              <w:br/>
              <w:t>12: Return JSON Payload to Dashboard React UI via WebSocket Endpoint</w:t>
            </w:r>
          </w:p>
        </w:tc>
      </w:tr>
    </w:tbl>
    <w:p w14:paraId="1D535B18" w14:textId="77777777" w:rsidR="00850178" w:rsidRDefault="00850178">
      <w:pPr>
        <w:spacing w:after="120"/>
      </w:pPr>
    </w:p>
    <w:p w14:paraId="21DA7781" w14:textId="77777777" w:rsidR="00850178" w:rsidRDefault="00000000">
      <w:pPr>
        <w:keepNext/>
        <w:spacing w:before="360" w:after="120"/>
      </w:pPr>
      <w:r>
        <w:rPr>
          <w:b/>
          <w:color w:val="1A365D"/>
          <w:sz w:val="28"/>
        </w:rPr>
        <w:t>4. EXPERIMENTAL SETUP AND BENCHMARKING</w:t>
      </w:r>
    </w:p>
    <w:p w14:paraId="55274459" w14:textId="77777777" w:rsidR="00850178" w:rsidRDefault="00000000">
      <w:pPr>
        <w:keepNext/>
        <w:spacing w:before="280" w:after="80"/>
      </w:pPr>
      <w:r>
        <w:rPr>
          <w:b/>
          <w:color w:val="2B6CB0"/>
          <w:sz w:val="24"/>
        </w:rPr>
        <w:t>4.1 Hardware and Software Infrastructure</w:t>
      </w:r>
    </w:p>
    <w:p w14:paraId="5E760088" w14:textId="77777777" w:rsidR="00850178" w:rsidRDefault="00000000">
      <w:pPr>
        <w:spacing w:after="120"/>
      </w:pPr>
      <w:r>
        <w:t>All empirical experiments, model training pipelines, and latency profiling benchmarks were executed on an enterprise workstation setup comprising an AWS EC2 c5.4xlarge compute node (16 vCPUs, 32 GB RAM, 10 Gbps networking) supplemented with an NVIDIA T4 GPU (16 GB VRAM) for deep learning (TabNet) acceleration. Software environments were standardized on Ubuntu 22.04 LTS, Python 3.10, PyTorch 2.1, LightGBM 4.0, XGBoost 2.0, SHAP 0.43, FastAPI 0.104, and React 18 for front-end rendering.</w:t>
      </w:r>
    </w:p>
    <w:p w14:paraId="6FFF3CAB" w14:textId="77777777" w:rsidR="00850178" w:rsidRDefault="00000000">
      <w:pPr>
        <w:keepNext/>
        <w:spacing w:before="280" w:after="80"/>
      </w:pPr>
      <w:r>
        <w:rPr>
          <w:b/>
          <w:color w:val="2B6CB0"/>
          <w:sz w:val="24"/>
        </w:rPr>
        <w:t>4.2 Dataset Chronological Splitting Protocol</w:t>
      </w:r>
    </w:p>
    <w:p w14:paraId="2DC74F1A" w14:textId="77777777" w:rsidR="00850178" w:rsidRDefault="00000000">
      <w:pPr>
        <w:spacing w:after="120"/>
      </w:pPr>
      <w:r>
        <w:t>To avoid temporal data leakage standard in random k-fold cross-validation, the 24-month benchmark dataset was split chronologically according to operational timelines:</w:t>
      </w:r>
    </w:p>
    <w:p w14:paraId="52327056" w14:textId="77777777" w:rsidR="00850178" w:rsidRDefault="00000000">
      <w:pPr>
        <w:pStyle w:val="ListBullet"/>
        <w:spacing w:after="80"/>
      </w:pPr>
      <w:r>
        <w:rPr>
          <w:b/>
        </w:rPr>
        <w:t xml:space="preserve">• Training Split (Months 1 to 16): </w:t>
      </w:r>
      <w:r>
        <w:t>70% of dataset (872,060 order records, 3.16M clickstream logs) used for feature engineering and model parameter fitting.</w:t>
      </w:r>
    </w:p>
    <w:p w14:paraId="740C6F8D" w14:textId="77777777" w:rsidR="00850178" w:rsidRDefault="00000000">
      <w:pPr>
        <w:pStyle w:val="ListBullet"/>
        <w:spacing w:after="80"/>
      </w:pPr>
      <w:r>
        <w:rPr>
          <w:b/>
        </w:rPr>
        <w:t xml:space="preserve">• Validation Split (Months 17 to 20): </w:t>
      </w:r>
      <w:r>
        <w:t>15% of dataset (186,870 order records) used for hyperparameter tuning and early stopping iteration selection.</w:t>
      </w:r>
    </w:p>
    <w:p w14:paraId="1C206C09" w14:textId="77777777" w:rsidR="00850178" w:rsidRDefault="00000000">
      <w:pPr>
        <w:pStyle w:val="ListBullet"/>
        <w:spacing w:after="80"/>
      </w:pPr>
      <w:r>
        <w:rPr>
          <w:b/>
        </w:rPr>
        <w:t xml:space="preserve">• Hold-Out Test Split (Months 21 to 24): </w:t>
      </w:r>
      <w:r>
        <w:t>15% of dataset (186,870 order records, N=22,500 evaluated customer accounts) reserved strictly for final performance evaluation and latency profiling.</w:t>
      </w:r>
    </w:p>
    <w:p w14:paraId="22DD59D5" w14:textId="77777777" w:rsidR="00850178" w:rsidRDefault="00000000">
      <w:pPr>
        <w:keepNext/>
        <w:spacing w:before="280" w:after="80"/>
      </w:pPr>
      <w:r>
        <w:rPr>
          <w:b/>
          <w:color w:val="2B6CB0"/>
          <w:sz w:val="24"/>
        </w:rPr>
        <w:lastRenderedPageBreak/>
        <w:t>4.3 Hyperparameter Tuning Configuration</w:t>
      </w:r>
    </w:p>
    <w:p w14:paraId="20CBFB93" w14:textId="77777777" w:rsidR="00850178" w:rsidRDefault="00000000">
      <w:pPr>
        <w:spacing w:after="120"/>
      </w:pPr>
      <w:r>
        <w:t>Hyperparameter optimization was executed using Optuna with a Tree-structured Parzen Estimator (TPE) sampler over 200 trials per model. Table 2 details the optimal hyperparameter configurations selected.</w:t>
      </w:r>
    </w:p>
    <w:tbl>
      <w:tblPr>
        <w:tblW w:w="0" w:type="auto"/>
        <w:jc w:val="center"/>
        <w:tblLook w:val="04A0" w:firstRow="1" w:lastRow="0" w:firstColumn="1" w:lastColumn="0" w:noHBand="0" w:noVBand="1"/>
      </w:tblPr>
      <w:tblGrid>
        <w:gridCol w:w="3120"/>
        <w:gridCol w:w="3120"/>
        <w:gridCol w:w="3120"/>
      </w:tblGrid>
      <w:tr w:rsidR="00850178" w14:paraId="118A2880" w14:textId="77777777">
        <w:trPr>
          <w:jc w:val="center"/>
        </w:trPr>
        <w:tc>
          <w:tcPr>
            <w:tcW w:w="3120" w:type="dxa"/>
            <w:shd w:val="clear" w:color="auto" w:fill="1A365D"/>
          </w:tcPr>
          <w:p w14:paraId="4C7EFCE9" w14:textId="77777777" w:rsidR="00850178" w:rsidRDefault="00000000">
            <w:r>
              <w:rPr>
                <w:b/>
                <w:color w:val="FFFFFF"/>
                <w:sz w:val="19"/>
              </w:rPr>
              <w:t>Model Architecture</w:t>
            </w:r>
          </w:p>
        </w:tc>
        <w:tc>
          <w:tcPr>
            <w:tcW w:w="3120" w:type="dxa"/>
            <w:shd w:val="clear" w:color="auto" w:fill="1A365D"/>
          </w:tcPr>
          <w:p w14:paraId="3EB94D90" w14:textId="77777777" w:rsidR="00850178" w:rsidRDefault="00000000">
            <w:r>
              <w:rPr>
                <w:b/>
                <w:color w:val="FFFFFF"/>
                <w:sz w:val="19"/>
              </w:rPr>
              <w:t>Tuned Hyperparameters</w:t>
            </w:r>
          </w:p>
        </w:tc>
        <w:tc>
          <w:tcPr>
            <w:tcW w:w="3120" w:type="dxa"/>
            <w:shd w:val="clear" w:color="auto" w:fill="1A365D"/>
          </w:tcPr>
          <w:p w14:paraId="65E15BC3" w14:textId="77777777" w:rsidR="00850178" w:rsidRDefault="00000000">
            <w:r>
              <w:rPr>
                <w:b/>
                <w:color w:val="FFFFFF"/>
                <w:sz w:val="19"/>
              </w:rPr>
              <w:t>Optimal Config Value</w:t>
            </w:r>
          </w:p>
        </w:tc>
      </w:tr>
      <w:tr w:rsidR="00850178" w:rsidRPr="005B28F3" w14:paraId="3D935E55" w14:textId="77777777">
        <w:trPr>
          <w:jc w:val="center"/>
        </w:trPr>
        <w:tc>
          <w:tcPr>
            <w:tcW w:w="3120" w:type="dxa"/>
            <w:shd w:val="clear" w:color="auto" w:fill="FFFFFF"/>
          </w:tcPr>
          <w:p w14:paraId="7C40761C" w14:textId="77777777" w:rsidR="00850178" w:rsidRDefault="00000000">
            <w:r>
              <w:rPr>
                <w:b/>
                <w:sz w:val="19"/>
              </w:rPr>
              <w:t>LightGBM (Proposed)</w:t>
            </w:r>
          </w:p>
        </w:tc>
        <w:tc>
          <w:tcPr>
            <w:tcW w:w="3120" w:type="dxa"/>
            <w:shd w:val="clear" w:color="auto" w:fill="FFFFFF"/>
          </w:tcPr>
          <w:p w14:paraId="5000188A" w14:textId="77777777" w:rsidR="00850178" w:rsidRDefault="00000000">
            <w:r>
              <w:rPr>
                <w:sz w:val="19"/>
              </w:rPr>
              <w:t>num_leaves, learning_rate, feature_fraction, n_estimators</w:t>
            </w:r>
          </w:p>
        </w:tc>
        <w:tc>
          <w:tcPr>
            <w:tcW w:w="3120" w:type="dxa"/>
            <w:shd w:val="clear" w:color="auto" w:fill="FFFFFF"/>
          </w:tcPr>
          <w:p w14:paraId="2EBA5674" w14:textId="77777777" w:rsidR="00850178" w:rsidRPr="005B28F3" w:rsidRDefault="00000000">
            <w:pPr>
              <w:rPr>
                <w:lang w:val="fr-FR"/>
              </w:rPr>
            </w:pPr>
            <w:proofErr w:type="spellStart"/>
            <w:r w:rsidRPr="005B28F3">
              <w:rPr>
                <w:sz w:val="19"/>
                <w:lang w:val="fr-FR"/>
              </w:rPr>
              <w:t>num_leaves</w:t>
            </w:r>
            <w:proofErr w:type="spellEnd"/>
            <w:r w:rsidRPr="005B28F3">
              <w:rPr>
                <w:sz w:val="19"/>
                <w:lang w:val="fr-FR"/>
              </w:rPr>
              <w:t xml:space="preserve">=31, </w:t>
            </w:r>
            <w:proofErr w:type="spellStart"/>
            <w:r w:rsidRPr="005B28F3">
              <w:rPr>
                <w:sz w:val="19"/>
                <w:lang w:val="fr-FR"/>
              </w:rPr>
              <w:t>lr</w:t>
            </w:r>
            <w:proofErr w:type="spellEnd"/>
            <w:r w:rsidRPr="005B28F3">
              <w:rPr>
                <w:sz w:val="19"/>
                <w:lang w:val="fr-FR"/>
              </w:rPr>
              <w:t xml:space="preserve">=0.025, </w:t>
            </w:r>
            <w:proofErr w:type="spellStart"/>
            <w:r w:rsidRPr="005B28F3">
              <w:rPr>
                <w:sz w:val="19"/>
                <w:lang w:val="fr-FR"/>
              </w:rPr>
              <w:t>ff</w:t>
            </w:r>
            <w:proofErr w:type="spellEnd"/>
            <w:r w:rsidRPr="005B28F3">
              <w:rPr>
                <w:sz w:val="19"/>
                <w:lang w:val="fr-FR"/>
              </w:rPr>
              <w:t xml:space="preserve">=0.75, </w:t>
            </w:r>
            <w:proofErr w:type="spellStart"/>
            <w:r w:rsidRPr="005B28F3">
              <w:rPr>
                <w:sz w:val="19"/>
                <w:lang w:val="fr-FR"/>
              </w:rPr>
              <w:t>n_est</w:t>
            </w:r>
            <w:proofErr w:type="spellEnd"/>
            <w:r w:rsidRPr="005B28F3">
              <w:rPr>
                <w:sz w:val="19"/>
                <w:lang w:val="fr-FR"/>
              </w:rPr>
              <w:t>=850</w:t>
            </w:r>
          </w:p>
        </w:tc>
      </w:tr>
      <w:tr w:rsidR="00850178" w14:paraId="72D87274" w14:textId="77777777">
        <w:trPr>
          <w:jc w:val="center"/>
        </w:trPr>
        <w:tc>
          <w:tcPr>
            <w:tcW w:w="3120" w:type="dxa"/>
            <w:shd w:val="clear" w:color="auto" w:fill="F7FAFC"/>
          </w:tcPr>
          <w:p w14:paraId="5996B393" w14:textId="77777777" w:rsidR="00850178" w:rsidRDefault="00000000">
            <w:proofErr w:type="spellStart"/>
            <w:r>
              <w:rPr>
                <w:b/>
                <w:sz w:val="19"/>
              </w:rPr>
              <w:t>XGBoost</w:t>
            </w:r>
            <w:proofErr w:type="spellEnd"/>
            <w:r>
              <w:rPr>
                <w:b/>
                <w:sz w:val="19"/>
              </w:rPr>
              <w:t xml:space="preserve"> (Proposed)</w:t>
            </w:r>
          </w:p>
        </w:tc>
        <w:tc>
          <w:tcPr>
            <w:tcW w:w="3120" w:type="dxa"/>
            <w:shd w:val="clear" w:color="auto" w:fill="F7FAFC"/>
          </w:tcPr>
          <w:p w14:paraId="0574004C" w14:textId="77777777" w:rsidR="00850178" w:rsidRDefault="00000000">
            <w:r>
              <w:rPr>
                <w:sz w:val="19"/>
              </w:rPr>
              <w:t>max_depth, learning_rate, subsample, colsample_bytree</w:t>
            </w:r>
          </w:p>
        </w:tc>
        <w:tc>
          <w:tcPr>
            <w:tcW w:w="3120" w:type="dxa"/>
            <w:shd w:val="clear" w:color="auto" w:fill="F7FAFC"/>
          </w:tcPr>
          <w:p w14:paraId="4E3C1AAE" w14:textId="77777777" w:rsidR="00850178" w:rsidRDefault="00000000">
            <w:r>
              <w:rPr>
                <w:sz w:val="19"/>
              </w:rPr>
              <w:t>max_depth=6, lr=0.03, subsample=0.80, colsample=0.75</w:t>
            </w:r>
          </w:p>
        </w:tc>
      </w:tr>
      <w:tr w:rsidR="00850178" w14:paraId="345B51B8" w14:textId="77777777">
        <w:trPr>
          <w:jc w:val="center"/>
        </w:trPr>
        <w:tc>
          <w:tcPr>
            <w:tcW w:w="3120" w:type="dxa"/>
            <w:shd w:val="clear" w:color="auto" w:fill="FFFFFF"/>
          </w:tcPr>
          <w:p w14:paraId="74ABC5E5" w14:textId="77777777" w:rsidR="00850178" w:rsidRDefault="00000000">
            <w:r>
              <w:rPr>
                <w:b/>
                <w:sz w:val="19"/>
              </w:rPr>
              <w:t>TabNet Neural Net</w:t>
            </w:r>
          </w:p>
        </w:tc>
        <w:tc>
          <w:tcPr>
            <w:tcW w:w="3120" w:type="dxa"/>
            <w:shd w:val="clear" w:color="auto" w:fill="FFFFFF"/>
          </w:tcPr>
          <w:p w14:paraId="7CD3E8D6" w14:textId="77777777" w:rsidR="00850178" w:rsidRDefault="00000000">
            <w:r>
              <w:rPr>
                <w:sz w:val="19"/>
              </w:rPr>
              <w:t>n_d, n_a, n_steps, gamma, sparsity factor</w:t>
            </w:r>
          </w:p>
        </w:tc>
        <w:tc>
          <w:tcPr>
            <w:tcW w:w="3120" w:type="dxa"/>
            <w:shd w:val="clear" w:color="auto" w:fill="FFFFFF"/>
          </w:tcPr>
          <w:p w14:paraId="68984350" w14:textId="77777777" w:rsidR="00850178" w:rsidRDefault="00000000">
            <w:r>
              <w:rPr>
                <w:sz w:val="19"/>
              </w:rPr>
              <w:t>n_d=64, n_a=64, n_steps=5, gamma=1.5, lambda_sparse=1e-4</w:t>
            </w:r>
          </w:p>
        </w:tc>
      </w:tr>
      <w:tr w:rsidR="00850178" w:rsidRPr="005B28F3" w14:paraId="46EEDBD1" w14:textId="77777777">
        <w:trPr>
          <w:jc w:val="center"/>
        </w:trPr>
        <w:tc>
          <w:tcPr>
            <w:tcW w:w="3120" w:type="dxa"/>
            <w:shd w:val="clear" w:color="auto" w:fill="F7FAFC"/>
          </w:tcPr>
          <w:p w14:paraId="2E5ACAC6" w14:textId="77777777" w:rsidR="00850178" w:rsidRDefault="00000000">
            <w:r>
              <w:rPr>
                <w:b/>
                <w:sz w:val="19"/>
              </w:rPr>
              <w:t>Random Forest Baseline</w:t>
            </w:r>
          </w:p>
        </w:tc>
        <w:tc>
          <w:tcPr>
            <w:tcW w:w="3120" w:type="dxa"/>
            <w:shd w:val="clear" w:color="auto" w:fill="F7FAFC"/>
          </w:tcPr>
          <w:p w14:paraId="6C21D9FB" w14:textId="77777777" w:rsidR="00850178" w:rsidRDefault="00000000">
            <w:r>
              <w:rPr>
                <w:sz w:val="19"/>
              </w:rPr>
              <w:t>n_estimators, max_depth, min_samples_split</w:t>
            </w:r>
          </w:p>
        </w:tc>
        <w:tc>
          <w:tcPr>
            <w:tcW w:w="3120" w:type="dxa"/>
            <w:shd w:val="clear" w:color="auto" w:fill="F7FAFC"/>
          </w:tcPr>
          <w:p w14:paraId="69B45A08" w14:textId="77777777" w:rsidR="00850178" w:rsidRPr="005B28F3" w:rsidRDefault="00000000">
            <w:pPr>
              <w:rPr>
                <w:lang w:val="fr-FR"/>
              </w:rPr>
            </w:pPr>
            <w:proofErr w:type="spellStart"/>
            <w:r w:rsidRPr="005B28F3">
              <w:rPr>
                <w:sz w:val="19"/>
                <w:lang w:val="fr-FR"/>
              </w:rPr>
              <w:t>n_est</w:t>
            </w:r>
            <w:proofErr w:type="spellEnd"/>
            <w:r w:rsidRPr="005B28F3">
              <w:rPr>
                <w:sz w:val="19"/>
                <w:lang w:val="fr-FR"/>
              </w:rPr>
              <w:t xml:space="preserve">=500, </w:t>
            </w:r>
            <w:proofErr w:type="spellStart"/>
            <w:r w:rsidRPr="005B28F3">
              <w:rPr>
                <w:sz w:val="19"/>
                <w:lang w:val="fr-FR"/>
              </w:rPr>
              <w:t>max_depth</w:t>
            </w:r>
            <w:proofErr w:type="spellEnd"/>
            <w:r w:rsidRPr="005B28F3">
              <w:rPr>
                <w:sz w:val="19"/>
                <w:lang w:val="fr-FR"/>
              </w:rPr>
              <w:t xml:space="preserve">=12, </w:t>
            </w:r>
            <w:proofErr w:type="spellStart"/>
            <w:r w:rsidRPr="005B28F3">
              <w:rPr>
                <w:sz w:val="19"/>
                <w:lang w:val="fr-FR"/>
              </w:rPr>
              <w:t>min_samples_split</w:t>
            </w:r>
            <w:proofErr w:type="spellEnd"/>
            <w:r w:rsidRPr="005B28F3">
              <w:rPr>
                <w:sz w:val="19"/>
                <w:lang w:val="fr-FR"/>
              </w:rPr>
              <w:t>=5</w:t>
            </w:r>
          </w:p>
        </w:tc>
      </w:tr>
    </w:tbl>
    <w:p w14:paraId="5473C4E1" w14:textId="77777777" w:rsidR="00850178" w:rsidRPr="005B28F3" w:rsidRDefault="00850178">
      <w:pPr>
        <w:spacing w:after="120"/>
        <w:rPr>
          <w:lang w:val="fr-FR"/>
        </w:rPr>
      </w:pPr>
    </w:p>
    <w:p w14:paraId="7854D16A" w14:textId="77777777" w:rsidR="00850178" w:rsidRDefault="00000000">
      <w:pPr>
        <w:keepNext/>
        <w:spacing w:before="280" w:after="80"/>
      </w:pPr>
      <w:r>
        <w:rPr>
          <w:b/>
          <w:color w:val="2B6CB0"/>
          <w:sz w:val="24"/>
        </w:rPr>
        <w:t>4.4 Evaluation Metrics and Statistical Validation</w:t>
      </w:r>
    </w:p>
    <w:p w14:paraId="68F2BC00" w14:textId="77777777" w:rsidR="00850178" w:rsidRDefault="00000000">
      <w:pPr>
        <w:spacing w:after="120"/>
      </w:pPr>
      <w:r>
        <w:t>Model evaluations are performed across three analytical categories:</w:t>
      </w:r>
    </w:p>
    <w:p w14:paraId="43234CCD" w14:textId="77777777" w:rsidR="00850178" w:rsidRDefault="00000000">
      <w:pPr>
        <w:pStyle w:val="ListBullet"/>
        <w:spacing w:after="80"/>
      </w:pPr>
      <w:r>
        <w:rPr>
          <w:b/>
        </w:rPr>
        <w:t xml:space="preserve">1. Binary Classification (Churn): </w:t>
      </w:r>
      <w:r>
        <w:t>Area Under the Receiver Operating Characteristic Curve (ROC-AUC), Area Under the Precision-Recall Curve (PR-AUC), F1-Score, Sensitivity (Recall), and Specificity.</w:t>
      </w:r>
    </w:p>
    <w:p w14:paraId="3C463787" w14:textId="77777777" w:rsidR="00850178" w:rsidRDefault="00000000">
      <w:pPr>
        <w:pStyle w:val="ListBullet"/>
        <w:spacing w:after="80"/>
      </w:pPr>
      <w:r>
        <w:rPr>
          <w:b/>
        </w:rPr>
        <w:t xml:space="preserve">2. Regression Tasks (CLV &amp; Demand): </w:t>
      </w:r>
      <w:r>
        <w:t>Root Mean Squared Error (RMSE) and Mean Absolute Percentage Error (MAPE).</w:t>
      </w:r>
    </w:p>
    <w:p w14:paraId="6CCD14D3" w14:textId="77777777" w:rsidR="00850178" w:rsidRDefault="00000000">
      <w:pPr>
        <w:pStyle w:val="ListBullet"/>
        <w:spacing w:after="80"/>
      </w:pPr>
      <w:r>
        <w:rPr>
          <w:b/>
        </w:rPr>
        <w:t xml:space="preserve">3. System Performance &amp; Latency: </w:t>
      </w:r>
      <w:r>
        <w:t>Model Inference Latency (ms), TreeSHAP Explanation Calculation Latency (ms), and UI Render Latency (ms).</w:t>
      </w:r>
    </w:p>
    <w:p w14:paraId="12A4DA3E" w14:textId="77777777" w:rsidR="00850178" w:rsidRDefault="00000000">
      <w:pPr>
        <w:keepNext/>
        <w:spacing w:before="360" w:after="120"/>
      </w:pPr>
      <w:r>
        <w:rPr>
          <w:b/>
          <w:color w:val="1A365D"/>
          <w:sz w:val="28"/>
        </w:rPr>
        <w:t>5. EMPIRICAL RESULTS AND SYSTEM EVALUATION</w:t>
      </w:r>
    </w:p>
    <w:p w14:paraId="59552C1A" w14:textId="77777777" w:rsidR="00850178" w:rsidRDefault="00000000">
      <w:pPr>
        <w:keepNext/>
        <w:spacing w:before="280" w:after="80"/>
      </w:pPr>
      <w:r>
        <w:rPr>
          <w:b/>
          <w:color w:val="2B6CB0"/>
          <w:sz w:val="24"/>
        </w:rPr>
        <w:t>5.1 Churn Classification Model Comparison</w:t>
      </w:r>
    </w:p>
    <w:p w14:paraId="3389C866" w14:textId="77777777" w:rsidR="00850178" w:rsidRDefault="00000000">
      <w:pPr>
        <w:spacing w:after="120"/>
      </w:pPr>
      <w:r>
        <w:t>Table 3 outlines the empirical benchmark results across all tested architectures for the customer churn prediction task on the hold-out test set.</w:t>
      </w:r>
    </w:p>
    <w:tbl>
      <w:tblPr>
        <w:tblW w:w="0" w:type="auto"/>
        <w:jc w:val="center"/>
        <w:tblLook w:val="04A0" w:firstRow="1" w:lastRow="0" w:firstColumn="1" w:lastColumn="0" w:noHBand="0" w:noVBand="1"/>
      </w:tblPr>
      <w:tblGrid>
        <w:gridCol w:w="1560"/>
        <w:gridCol w:w="1560"/>
        <w:gridCol w:w="1560"/>
        <w:gridCol w:w="1560"/>
        <w:gridCol w:w="1560"/>
        <w:gridCol w:w="1560"/>
      </w:tblGrid>
      <w:tr w:rsidR="00850178" w14:paraId="16CC1AB9" w14:textId="77777777">
        <w:trPr>
          <w:jc w:val="center"/>
        </w:trPr>
        <w:tc>
          <w:tcPr>
            <w:tcW w:w="1560" w:type="dxa"/>
            <w:shd w:val="clear" w:color="auto" w:fill="1A365D"/>
          </w:tcPr>
          <w:p w14:paraId="47D9BA8F" w14:textId="77777777" w:rsidR="00850178" w:rsidRDefault="00000000">
            <w:r>
              <w:rPr>
                <w:b/>
                <w:color w:val="FFFFFF"/>
                <w:sz w:val="18"/>
              </w:rPr>
              <w:t>Model Architecture</w:t>
            </w:r>
          </w:p>
        </w:tc>
        <w:tc>
          <w:tcPr>
            <w:tcW w:w="1560" w:type="dxa"/>
            <w:shd w:val="clear" w:color="auto" w:fill="1A365D"/>
          </w:tcPr>
          <w:p w14:paraId="06D6E10F" w14:textId="77777777" w:rsidR="00850178" w:rsidRDefault="00000000">
            <w:r>
              <w:rPr>
                <w:b/>
                <w:color w:val="FFFFFF"/>
                <w:sz w:val="18"/>
              </w:rPr>
              <w:t>ROC-AUC</w:t>
            </w:r>
          </w:p>
        </w:tc>
        <w:tc>
          <w:tcPr>
            <w:tcW w:w="1560" w:type="dxa"/>
            <w:shd w:val="clear" w:color="auto" w:fill="1A365D"/>
          </w:tcPr>
          <w:p w14:paraId="7C84BF82" w14:textId="77777777" w:rsidR="00850178" w:rsidRDefault="00000000">
            <w:r>
              <w:rPr>
                <w:b/>
                <w:color w:val="FFFFFF"/>
                <w:sz w:val="18"/>
              </w:rPr>
              <w:t>PR-AUC</w:t>
            </w:r>
          </w:p>
        </w:tc>
        <w:tc>
          <w:tcPr>
            <w:tcW w:w="1560" w:type="dxa"/>
            <w:shd w:val="clear" w:color="auto" w:fill="1A365D"/>
          </w:tcPr>
          <w:p w14:paraId="0BB3CDE0" w14:textId="77777777" w:rsidR="00850178" w:rsidRDefault="00000000">
            <w:r>
              <w:rPr>
                <w:b/>
                <w:color w:val="FFFFFF"/>
                <w:sz w:val="18"/>
              </w:rPr>
              <w:t>F1-Score</w:t>
            </w:r>
          </w:p>
        </w:tc>
        <w:tc>
          <w:tcPr>
            <w:tcW w:w="1560" w:type="dxa"/>
            <w:shd w:val="clear" w:color="auto" w:fill="1A365D"/>
          </w:tcPr>
          <w:p w14:paraId="0BEDB05E" w14:textId="77777777" w:rsidR="00850178" w:rsidRDefault="00000000">
            <w:r>
              <w:rPr>
                <w:b/>
                <w:color w:val="FFFFFF"/>
                <w:sz w:val="18"/>
              </w:rPr>
              <w:t>Inference Latency</w:t>
            </w:r>
          </w:p>
        </w:tc>
        <w:tc>
          <w:tcPr>
            <w:tcW w:w="1560" w:type="dxa"/>
            <w:shd w:val="clear" w:color="auto" w:fill="1A365D"/>
          </w:tcPr>
          <w:p w14:paraId="3893BD26" w14:textId="77777777" w:rsidR="00850178" w:rsidRDefault="00000000">
            <w:r>
              <w:rPr>
                <w:b/>
                <w:color w:val="FFFFFF"/>
                <w:sz w:val="18"/>
              </w:rPr>
              <w:t>SHAP Latency</w:t>
            </w:r>
          </w:p>
        </w:tc>
      </w:tr>
      <w:tr w:rsidR="00850178" w14:paraId="7E1EBCD7" w14:textId="77777777">
        <w:trPr>
          <w:jc w:val="center"/>
        </w:trPr>
        <w:tc>
          <w:tcPr>
            <w:tcW w:w="1560" w:type="dxa"/>
            <w:shd w:val="clear" w:color="auto" w:fill="FFFFFF"/>
          </w:tcPr>
          <w:p w14:paraId="2F29DC5D" w14:textId="77777777" w:rsidR="00850178" w:rsidRDefault="00000000">
            <w:r>
              <w:rPr>
                <w:sz w:val="18"/>
              </w:rPr>
              <w:t>Logistic Regression Baseline</w:t>
            </w:r>
          </w:p>
        </w:tc>
        <w:tc>
          <w:tcPr>
            <w:tcW w:w="1560" w:type="dxa"/>
            <w:shd w:val="clear" w:color="auto" w:fill="FFFFFF"/>
          </w:tcPr>
          <w:p w14:paraId="73F79541" w14:textId="77777777" w:rsidR="00850178" w:rsidRDefault="00000000">
            <w:r>
              <w:rPr>
                <w:sz w:val="18"/>
              </w:rPr>
              <w:t>0.712</w:t>
            </w:r>
          </w:p>
        </w:tc>
        <w:tc>
          <w:tcPr>
            <w:tcW w:w="1560" w:type="dxa"/>
            <w:shd w:val="clear" w:color="auto" w:fill="FFFFFF"/>
          </w:tcPr>
          <w:p w14:paraId="7C25C4AA" w14:textId="77777777" w:rsidR="00850178" w:rsidRDefault="00000000">
            <w:r>
              <w:rPr>
                <w:sz w:val="18"/>
              </w:rPr>
              <w:t>0.640</w:t>
            </w:r>
          </w:p>
        </w:tc>
        <w:tc>
          <w:tcPr>
            <w:tcW w:w="1560" w:type="dxa"/>
            <w:shd w:val="clear" w:color="auto" w:fill="FFFFFF"/>
          </w:tcPr>
          <w:p w14:paraId="4FF696E2" w14:textId="77777777" w:rsidR="00850178" w:rsidRDefault="00000000">
            <w:r>
              <w:rPr>
                <w:sz w:val="18"/>
              </w:rPr>
              <w:t>0.615</w:t>
            </w:r>
          </w:p>
        </w:tc>
        <w:tc>
          <w:tcPr>
            <w:tcW w:w="1560" w:type="dxa"/>
            <w:shd w:val="clear" w:color="auto" w:fill="FFFFFF"/>
          </w:tcPr>
          <w:p w14:paraId="42072FF2" w14:textId="77777777" w:rsidR="00850178" w:rsidRDefault="00000000">
            <w:r>
              <w:rPr>
                <w:sz w:val="18"/>
              </w:rPr>
              <w:t>2.1 ms</w:t>
            </w:r>
          </w:p>
        </w:tc>
        <w:tc>
          <w:tcPr>
            <w:tcW w:w="1560" w:type="dxa"/>
            <w:shd w:val="clear" w:color="auto" w:fill="FFFFFF"/>
          </w:tcPr>
          <w:p w14:paraId="28C73A92" w14:textId="77777777" w:rsidR="00850178" w:rsidRDefault="00000000">
            <w:r>
              <w:rPr>
                <w:sz w:val="18"/>
              </w:rPr>
              <w:t>N/A</w:t>
            </w:r>
          </w:p>
        </w:tc>
      </w:tr>
      <w:tr w:rsidR="00850178" w14:paraId="74B6B4AF" w14:textId="77777777">
        <w:trPr>
          <w:jc w:val="center"/>
        </w:trPr>
        <w:tc>
          <w:tcPr>
            <w:tcW w:w="1560" w:type="dxa"/>
            <w:shd w:val="clear" w:color="auto" w:fill="F7FAFC"/>
          </w:tcPr>
          <w:p w14:paraId="7C3F8115" w14:textId="77777777" w:rsidR="00850178" w:rsidRDefault="00000000">
            <w:r>
              <w:rPr>
                <w:sz w:val="18"/>
              </w:rPr>
              <w:t>Random Forest Baseline</w:t>
            </w:r>
          </w:p>
        </w:tc>
        <w:tc>
          <w:tcPr>
            <w:tcW w:w="1560" w:type="dxa"/>
            <w:shd w:val="clear" w:color="auto" w:fill="F7FAFC"/>
          </w:tcPr>
          <w:p w14:paraId="2B4801EF" w14:textId="77777777" w:rsidR="00850178" w:rsidRDefault="00000000">
            <w:r>
              <w:rPr>
                <w:sz w:val="18"/>
              </w:rPr>
              <w:t>0.831</w:t>
            </w:r>
          </w:p>
        </w:tc>
        <w:tc>
          <w:tcPr>
            <w:tcW w:w="1560" w:type="dxa"/>
            <w:shd w:val="clear" w:color="auto" w:fill="F7FAFC"/>
          </w:tcPr>
          <w:p w14:paraId="047EF8AE" w14:textId="77777777" w:rsidR="00850178" w:rsidRDefault="00000000">
            <w:r>
              <w:rPr>
                <w:sz w:val="18"/>
              </w:rPr>
              <w:t>0.785</w:t>
            </w:r>
          </w:p>
        </w:tc>
        <w:tc>
          <w:tcPr>
            <w:tcW w:w="1560" w:type="dxa"/>
            <w:shd w:val="clear" w:color="auto" w:fill="F7FAFC"/>
          </w:tcPr>
          <w:p w14:paraId="1616F04C" w14:textId="77777777" w:rsidR="00850178" w:rsidRDefault="00000000">
            <w:r>
              <w:rPr>
                <w:sz w:val="18"/>
              </w:rPr>
              <w:t>0.762</w:t>
            </w:r>
          </w:p>
        </w:tc>
        <w:tc>
          <w:tcPr>
            <w:tcW w:w="1560" w:type="dxa"/>
            <w:shd w:val="clear" w:color="auto" w:fill="F7FAFC"/>
          </w:tcPr>
          <w:p w14:paraId="090D5939" w14:textId="77777777" w:rsidR="00850178" w:rsidRDefault="00000000">
            <w:r>
              <w:rPr>
                <w:sz w:val="18"/>
              </w:rPr>
              <w:t>24.5 ms</w:t>
            </w:r>
          </w:p>
        </w:tc>
        <w:tc>
          <w:tcPr>
            <w:tcW w:w="1560" w:type="dxa"/>
            <w:shd w:val="clear" w:color="auto" w:fill="F7FAFC"/>
          </w:tcPr>
          <w:p w14:paraId="6024895E" w14:textId="77777777" w:rsidR="00850178" w:rsidRDefault="00000000">
            <w:r>
              <w:rPr>
                <w:sz w:val="18"/>
              </w:rPr>
              <w:t>125.0 ms</w:t>
            </w:r>
          </w:p>
        </w:tc>
      </w:tr>
      <w:tr w:rsidR="00850178" w14:paraId="36D4EB48" w14:textId="77777777">
        <w:trPr>
          <w:jc w:val="center"/>
        </w:trPr>
        <w:tc>
          <w:tcPr>
            <w:tcW w:w="1560" w:type="dxa"/>
            <w:shd w:val="clear" w:color="auto" w:fill="FFFFFF"/>
          </w:tcPr>
          <w:p w14:paraId="203EA01A" w14:textId="77777777" w:rsidR="00850178" w:rsidRDefault="00000000">
            <w:r>
              <w:rPr>
                <w:sz w:val="18"/>
              </w:rPr>
              <w:t>TabNet Neural Network</w:t>
            </w:r>
          </w:p>
        </w:tc>
        <w:tc>
          <w:tcPr>
            <w:tcW w:w="1560" w:type="dxa"/>
            <w:shd w:val="clear" w:color="auto" w:fill="FFFFFF"/>
          </w:tcPr>
          <w:p w14:paraId="1D90C91C" w14:textId="77777777" w:rsidR="00850178" w:rsidRDefault="00000000">
            <w:r>
              <w:rPr>
                <w:sz w:val="18"/>
              </w:rPr>
              <w:t>0.865</w:t>
            </w:r>
          </w:p>
        </w:tc>
        <w:tc>
          <w:tcPr>
            <w:tcW w:w="1560" w:type="dxa"/>
            <w:shd w:val="clear" w:color="auto" w:fill="FFFFFF"/>
          </w:tcPr>
          <w:p w14:paraId="567FEB79" w14:textId="77777777" w:rsidR="00850178" w:rsidRDefault="00000000">
            <w:r>
              <w:rPr>
                <w:sz w:val="18"/>
              </w:rPr>
              <w:t>0.812</w:t>
            </w:r>
          </w:p>
        </w:tc>
        <w:tc>
          <w:tcPr>
            <w:tcW w:w="1560" w:type="dxa"/>
            <w:shd w:val="clear" w:color="auto" w:fill="FFFFFF"/>
          </w:tcPr>
          <w:p w14:paraId="0479528F" w14:textId="77777777" w:rsidR="00850178" w:rsidRDefault="00000000">
            <w:r>
              <w:rPr>
                <w:sz w:val="18"/>
              </w:rPr>
              <w:t>0.791</w:t>
            </w:r>
          </w:p>
        </w:tc>
        <w:tc>
          <w:tcPr>
            <w:tcW w:w="1560" w:type="dxa"/>
            <w:shd w:val="clear" w:color="auto" w:fill="FFFFFF"/>
          </w:tcPr>
          <w:p w14:paraId="3D60E402" w14:textId="77777777" w:rsidR="00850178" w:rsidRDefault="00000000">
            <w:r>
              <w:rPr>
                <w:sz w:val="18"/>
              </w:rPr>
              <w:t>48.2 ms</w:t>
            </w:r>
          </w:p>
        </w:tc>
        <w:tc>
          <w:tcPr>
            <w:tcW w:w="1560" w:type="dxa"/>
            <w:shd w:val="clear" w:color="auto" w:fill="FFFFFF"/>
          </w:tcPr>
          <w:p w14:paraId="4917F313" w14:textId="77777777" w:rsidR="00850178" w:rsidRDefault="00000000">
            <w:r>
              <w:rPr>
                <w:sz w:val="18"/>
              </w:rPr>
              <w:t>310.0 ms</w:t>
            </w:r>
          </w:p>
        </w:tc>
      </w:tr>
      <w:tr w:rsidR="00850178" w14:paraId="48ABCDC7" w14:textId="77777777">
        <w:trPr>
          <w:jc w:val="center"/>
        </w:trPr>
        <w:tc>
          <w:tcPr>
            <w:tcW w:w="1560" w:type="dxa"/>
            <w:shd w:val="clear" w:color="auto" w:fill="F7FAFC"/>
          </w:tcPr>
          <w:p w14:paraId="2152F8A8" w14:textId="77777777" w:rsidR="00850178" w:rsidRDefault="00000000">
            <w:r>
              <w:rPr>
                <w:sz w:val="18"/>
              </w:rPr>
              <w:lastRenderedPageBreak/>
              <w:t>XGBoost Ensemble</w:t>
            </w:r>
          </w:p>
        </w:tc>
        <w:tc>
          <w:tcPr>
            <w:tcW w:w="1560" w:type="dxa"/>
            <w:shd w:val="clear" w:color="auto" w:fill="F7FAFC"/>
          </w:tcPr>
          <w:p w14:paraId="071A1429" w14:textId="77777777" w:rsidR="00850178" w:rsidRDefault="00000000">
            <w:r>
              <w:rPr>
                <w:sz w:val="18"/>
              </w:rPr>
              <w:t>0.881</w:t>
            </w:r>
          </w:p>
        </w:tc>
        <w:tc>
          <w:tcPr>
            <w:tcW w:w="1560" w:type="dxa"/>
            <w:shd w:val="clear" w:color="auto" w:fill="F7FAFC"/>
          </w:tcPr>
          <w:p w14:paraId="0E84152E" w14:textId="77777777" w:rsidR="00850178" w:rsidRDefault="00000000">
            <w:r>
              <w:rPr>
                <w:sz w:val="18"/>
              </w:rPr>
              <w:t>0.838</w:t>
            </w:r>
          </w:p>
        </w:tc>
        <w:tc>
          <w:tcPr>
            <w:tcW w:w="1560" w:type="dxa"/>
            <w:shd w:val="clear" w:color="auto" w:fill="F7FAFC"/>
          </w:tcPr>
          <w:p w14:paraId="7C2D4698" w14:textId="77777777" w:rsidR="00850178" w:rsidRDefault="00000000">
            <w:r>
              <w:rPr>
                <w:sz w:val="18"/>
              </w:rPr>
              <w:t>0.816</w:t>
            </w:r>
          </w:p>
        </w:tc>
        <w:tc>
          <w:tcPr>
            <w:tcW w:w="1560" w:type="dxa"/>
            <w:shd w:val="clear" w:color="auto" w:fill="F7FAFC"/>
          </w:tcPr>
          <w:p w14:paraId="6FFA40F5" w14:textId="77777777" w:rsidR="00850178" w:rsidRDefault="00000000">
            <w:r>
              <w:rPr>
                <w:sz w:val="18"/>
              </w:rPr>
              <w:t>12.1 ms</w:t>
            </w:r>
          </w:p>
        </w:tc>
        <w:tc>
          <w:tcPr>
            <w:tcW w:w="1560" w:type="dxa"/>
            <w:shd w:val="clear" w:color="auto" w:fill="F7FAFC"/>
          </w:tcPr>
          <w:p w14:paraId="6E9AEE10" w14:textId="77777777" w:rsidR="00850178" w:rsidRDefault="00000000">
            <w:r>
              <w:rPr>
                <w:sz w:val="18"/>
              </w:rPr>
              <w:t>18.4 ms</w:t>
            </w:r>
          </w:p>
        </w:tc>
      </w:tr>
      <w:tr w:rsidR="00850178" w14:paraId="38E50CC0" w14:textId="77777777">
        <w:trPr>
          <w:jc w:val="center"/>
        </w:trPr>
        <w:tc>
          <w:tcPr>
            <w:tcW w:w="1560" w:type="dxa"/>
            <w:shd w:val="clear" w:color="auto" w:fill="FFFFFF"/>
          </w:tcPr>
          <w:p w14:paraId="02022FC7" w14:textId="77777777" w:rsidR="00850178" w:rsidRDefault="00000000">
            <w:r>
              <w:rPr>
                <w:b/>
                <w:sz w:val="18"/>
              </w:rPr>
              <w:t>LightGBM Engine (Proposed)</w:t>
            </w:r>
          </w:p>
        </w:tc>
        <w:tc>
          <w:tcPr>
            <w:tcW w:w="1560" w:type="dxa"/>
            <w:shd w:val="clear" w:color="auto" w:fill="FFFFFF"/>
          </w:tcPr>
          <w:p w14:paraId="28EF88A9" w14:textId="77777777" w:rsidR="00850178" w:rsidRDefault="00000000">
            <w:r>
              <w:rPr>
                <w:b/>
                <w:sz w:val="18"/>
              </w:rPr>
              <w:t>0.884</w:t>
            </w:r>
          </w:p>
        </w:tc>
        <w:tc>
          <w:tcPr>
            <w:tcW w:w="1560" w:type="dxa"/>
            <w:shd w:val="clear" w:color="auto" w:fill="FFFFFF"/>
          </w:tcPr>
          <w:p w14:paraId="085A8B0D" w14:textId="77777777" w:rsidR="00850178" w:rsidRDefault="00000000">
            <w:r>
              <w:rPr>
                <w:b/>
                <w:sz w:val="18"/>
              </w:rPr>
              <w:t>0.841</w:t>
            </w:r>
          </w:p>
        </w:tc>
        <w:tc>
          <w:tcPr>
            <w:tcW w:w="1560" w:type="dxa"/>
            <w:shd w:val="clear" w:color="auto" w:fill="FFFFFF"/>
          </w:tcPr>
          <w:p w14:paraId="14951910" w14:textId="77777777" w:rsidR="00850178" w:rsidRDefault="00000000">
            <w:r>
              <w:rPr>
                <w:b/>
                <w:sz w:val="18"/>
              </w:rPr>
              <w:t>0.820</w:t>
            </w:r>
          </w:p>
        </w:tc>
        <w:tc>
          <w:tcPr>
            <w:tcW w:w="1560" w:type="dxa"/>
            <w:shd w:val="clear" w:color="auto" w:fill="FFFFFF"/>
          </w:tcPr>
          <w:p w14:paraId="36EF3C27" w14:textId="77777777" w:rsidR="00850178" w:rsidRDefault="00000000">
            <w:r>
              <w:rPr>
                <w:b/>
                <w:sz w:val="18"/>
              </w:rPr>
              <w:t>8.4 ms</w:t>
            </w:r>
          </w:p>
        </w:tc>
        <w:tc>
          <w:tcPr>
            <w:tcW w:w="1560" w:type="dxa"/>
            <w:shd w:val="clear" w:color="auto" w:fill="FFFFFF"/>
          </w:tcPr>
          <w:p w14:paraId="12E366A2" w14:textId="77777777" w:rsidR="00850178" w:rsidRDefault="00000000">
            <w:r>
              <w:rPr>
                <w:b/>
                <w:sz w:val="18"/>
              </w:rPr>
              <w:t>14.2 ms</w:t>
            </w:r>
          </w:p>
        </w:tc>
      </w:tr>
    </w:tbl>
    <w:p w14:paraId="4626E88F" w14:textId="77777777" w:rsidR="00850178" w:rsidRDefault="00850178">
      <w:pPr>
        <w:spacing w:after="120"/>
      </w:pPr>
    </w:p>
    <w:p w14:paraId="5DB48260" w14:textId="77777777" w:rsidR="00850178" w:rsidRDefault="00000000">
      <w:pPr>
        <w:keepNext/>
        <w:spacing w:before="280" w:after="80"/>
      </w:pPr>
      <w:r>
        <w:rPr>
          <w:b/>
          <w:color w:val="2B6CB0"/>
          <w:sz w:val="24"/>
        </w:rPr>
        <w:t>5.2 Confusion Matrix Analysis</w:t>
      </w:r>
    </w:p>
    <w:p w14:paraId="70FA8134" w14:textId="77777777" w:rsidR="00850178" w:rsidRDefault="00000000">
      <w:pPr>
        <w:spacing w:after="120"/>
      </w:pPr>
      <w:r>
        <w:t>Figure 2 illustrates the confusion matrix for the proposed LightGBM engine evaluated on N=22,500 test customer accounts.</w:t>
      </w:r>
    </w:p>
    <w:p w14:paraId="553B8A0C" w14:textId="77777777" w:rsidR="00850178" w:rsidRDefault="00000000">
      <w:pPr>
        <w:spacing w:before="200"/>
        <w:jc w:val="center"/>
      </w:pPr>
      <w:r>
        <w:rPr>
          <w:noProof/>
        </w:rPr>
        <w:drawing>
          <wp:inline distT="0" distB="0" distL="0" distR="0" wp14:anchorId="43461873" wp14:editId="7324D675">
            <wp:extent cx="4114800" cy="2973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usion_matrix.png"/>
                    <pic:cNvPicPr/>
                  </pic:nvPicPr>
                  <pic:blipFill>
                    <a:blip r:embed="rId7"/>
                    <a:stretch>
                      <a:fillRect/>
                    </a:stretch>
                  </pic:blipFill>
                  <pic:spPr>
                    <a:xfrm>
                      <a:off x="0" y="0"/>
                      <a:ext cx="4114800" cy="2973636"/>
                    </a:xfrm>
                    <a:prstGeom prst="rect">
                      <a:avLst/>
                    </a:prstGeom>
                  </pic:spPr>
                </pic:pic>
              </a:graphicData>
            </a:graphic>
          </wp:inline>
        </w:drawing>
      </w:r>
    </w:p>
    <w:p w14:paraId="682BC666" w14:textId="77777777" w:rsidR="00850178" w:rsidRDefault="00000000">
      <w:pPr>
        <w:spacing w:after="120"/>
      </w:pPr>
      <w:r>
        <w:t>The model achieved 16,820 True Negatives and 3,540 True Positives, with 1,430 False Positives and 710 False Negatives. This corresponds to a Sensitivity (Recall) of 83.3% and Specificity of 92.2%. In an e-commerce context, prioritizing high recall for churn detection ensures that the store captures the vast majority of churning buyers before they transition to competitors.</w:t>
      </w:r>
    </w:p>
    <w:p w14:paraId="7267214D" w14:textId="77777777" w:rsidR="00850178" w:rsidRDefault="00000000">
      <w:pPr>
        <w:keepNext/>
        <w:spacing w:before="280" w:after="80"/>
      </w:pPr>
      <w:r>
        <w:rPr>
          <w:b/>
          <w:color w:val="2B6CB0"/>
          <w:sz w:val="24"/>
        </w:rPr>
        <w:t>5.3 ROC and Precision-Recall Curve Analysis</w:t>
      </w:r>
    </w:p>
    <w:p w14:paraId="7975768A" w14:textId="77777777" w:rsidR="00850178" w:rsidRDefault="00000000">
      <w:pPr>
        <w:spacing w:after="120"/>
      </w:pPr>
      <w:r>
        <w:t>Figure 3 depicts the comparative ROC and Precision-Recall curves. The LightGBM engine demonstrates consistent dominance across all decision thresholds.</w:t>
      </w:r>
    </w:p>
    <w:p w14:paraId="2A5177CE" w14:textId="77777777" w:rsidR="00850178" w:rsidRDefault="00000000">
      <w:pPr>
        <w:spacing w:before="200"/>
        <w:jc w:val="center"/>
      </w:pPr>
      <w:r>
        <w:rPr>
          <w:noProof/>
        </w:rPr>
        <w:lastRenderedPageBreak/>
        <w:drawing>
          <wp:inline distT="0" distB="0" distL="0" distR="0" wp14:anchorId="674428CF" wp14:editId="3CDE7307">
            <wp:extent cx="5669280" cy="2553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oc_pr_curves.png"/>
                    <pic:cNvPicPr/>
                  </pic:nvPicPr>
                  <pic:blipFill>
                    <a:blip r:embed="rId8"/>
                    <a:stretch>
                      <a:fillRect/>
                    </a:stretch>
                  </pic:blipFill>
                  <pic:spPr>
                    <a:xfrm>
                      <a:off x="0" y="0"/>
                      <a:ext cx="5669280" cy="2553770"/>
                    </a:xfrm>
                    <a:prstGeom prst="rect">
                      <a:avLst/>
                    </a:prstGeom>
                  </pic:spPr>
                </pic:pic>
              </a:graphicData>
            </a:graphic>
          </wp:inline>
        </w:drawing>
      </w:r>
    </w:p>
    <w:p w14:paraId="126DF46D" w14:textId="77777777" w:rsidR="00850178" w:rsidRDefault="00000000">
      <w:pPr>
        <w:keepNext/>
        <w:spacing w:before="280" w:after="80"/>
      </w:pPr>
      <w:r>
        <w:rPr>
          <w:b/>
          <w:color w:val="2B6CB0"/>
          <w:sz w:val="24"/>
        </w:rPr>
        <w:t>5.4 Global Feature Importance and Explainability Results</w:t>
      </w:r>
    </w:p>
    <w:p w14:paraId="1F46C43B" w14:textId="77777777" w:rsidR="00850178" w:rsidRDefault="00000000">
      <w:pPr>
        <w:spacing w:after="120"/>
      </w:pPr>
      <w:r>
        <w:t>Figure 4 illustrates the top global feature attributions derived from TreeSHAP values across the test customer base.</w:t>
      </w:r>
    </w:p>
    <w:p w14:paraId="78E2BB9C" w14:textId="77777777" w:rsidR="00850178" w:rsidRDefault="00000000">
      <w:pPr>
        <w:spacing w:before="200"/>
        <w:jc w:val="center"/>
      </w:pPr>
      <w:r>
        <w:rPr>
          <w:noProof/>
        </w:rPr>
        <w:drawing>
          <wp:inline distT="0" distB="0" distL="0" distR="0" wp14:anchorId="3CEFA79D" wp14:editId="50FE043B">
            <wp:extent cx="5486400" cy="27084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global_shap.png"/>
                    <pic:cNvPicPr/>
                  </pic:nvPicPr>
                  <pic:blipFill>
                    <a:blip r:embed="rId9"/>
                    <a:stretch>
                      <a:fillRect/>
                    </a:stretch>
                  </pic:blipFill>
                  <pic:spPr>
                    <a:xfrm>
                      <a:off x="0" y="0"/>
                      <a:ext cx="5486400" cy="2708476"/>
                    </a:xfrm>
                    <a:prstGeom prst="rect">
                      <a:avLst/>
                    </a:prstGeom>
                  </pic:spPr>
                </pic:pic>
              </a:graphicData>
            </a:graphic>
          </wp:inline>
        </w:drawing>
      </w:r>
    </w:p>
    <w:p w14:paraId="2D444802" w14:textId="77777777" w:rsidR="00850178" w:rsidRDefault="00000000">
      <w:pPr>
        <w:spacing w:after="120"/>
      </w:pPr>
      <w:r>
        <w:t>The global importance ranking identifies 'Customer Support Contact Frequency' (mean |SHAP| = 0.38) and '30-Day vs 90-Day Spending Drift' (mean |SHAP| = 0.32) as the top two primary drivers of customer churn. This empirical finding highlights that customer friction in support channels combined with a sudden drop in short-term purchasing velocity serves as a strong signal of impending churn.</w:t>
      </w:r>
    </w:p>
    <w:p w14:paraId="2F8B43C7" w14:textId="77777777" w:rsidR="00850178" w:rsidRDefault="00000000">
      <w:pPr>
        <w:keepNext/>
        <w:spacing w:before="280" w:after="80"/>
      </w:pPr>
      <w:r>
        <w:rPr>
          <w:b/>
          <w:color w:val="2B6CB0"/>
          <w:sz w:val="24"/>
        </w:rPr>
        <w:t>5.5 Dashboard Wireframe &amp; User Interface Integration</w:t>
      </w:r>
    </w:p>
    <w:p w14:paraId="0CB3F4F9" w14:textId="77777777" w:rsidR="00850178" w:rsidRDefault="00000000">
      <w:pPr>
        <w:spacing w:after="120"/>
      </w:pPr>
      <w:r>
        <w:t>Figure 5 demonstrates the operational executive dashboard interface incorporating real-time KPI scorecards, LightGBM sales forecasting trendlines, and embedded local SHAP customer risk widgets.</w:t>
      </w:r>
    </w:p>
    <w:p w14:paraId="6EC9B977" w14:textId="77777777" w:rsidR="00850178" w:rsidRDefault="00000000">
      <w:pPr>
        <w:spacing w:before="200"/>
        <w:jc w:val="center"/>
      </w:pPr>
      <w:r>
        <w:rPr>
          <w:noProof/>
        </w:rPr>
        <w:lastRenderedPageBreak/>
        <w:drawing>
          <wp:inline distT="0" distB="0" distL="0" distR="0" wp14:anchorId="3BF52F3D" wp14:editId="48220EE7">
            <wp:extent cx="5852160" cy="29008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ashboard_wireframe.png"/>
                    <pic:cNvPicPr/>
                  </pic:nvPicPr>
                  <pic:blipFill>
                    <a:blip r:embed="rId10"/>
                    <a:stretch>
                      <a:fillRect/>
                    </a:stretch>
                  </pic:blipFill>
                  <pic:spPr>
                    <a:xfrm>
                      <a:off x="0" y="0"/>
                      <a:ext cx="5852160" cy="2900808"/>
                    </a:xfrm>
                    <a:prstGeom prst="rect">
                      <a:avLst/>
                    </a:prstGeom>
                  </pic:spPr>
                </pic:pic>
              </a:graphicData>
            </a:graphic>
          </wp:inline>
        </w:drawing>
      </w:r>
    </w:p>
    <w:p w14:paraId="4BDCEF3C" w14:textId="77777777" w:rsidR="00850178" w:rsidRDefault="00000000">
      <w:pPr>
        <w:keepNext/>
        <w:spacing w:before="280" w:after="80"/>
      </w:pPr>
      <w:r>
        <w:rPr>
          <w:b/>
          <w:color w:val="2B6CB0"/>
          <w:sz w:val="24"/>
        </w:rPr>
        <w:t>5.6 Ablation Study: Impact of Real-Time Clickstream Signals</w:t>
      </w:r>
    </w:p>
    <w:p w14:paraId="75D2A4F0" w14:textId="77777777" w:rsidR="00850178" w:rsidRDefault="00000000">
      <w:pPr>
        <w:spacing w:after="120"/>
      </w:pPr>
      <w:r>
        <w:t>To evaluate the specific contribution of real-time streaming features versus static historical batch logs, we performed an ablation study by retraining models without online session features:</w:t>
      </w:r>
    </w:p>
    <w:p w14:paraId="2D0E8AB8" w14:textId="77777777" w:rsidR="00850178" w:rsidRDefault="00000000">
      <w:pPr>
        <w:pStyle w:val="ListBullet"/>
        <w:spacing w:after="80"/>
      </w:pPr>
      <w:r>
        <w:rPr>
          <w:b/>
        </w:rPr>
        <w:t xml:space="preserve">• Full Model (Batch + Real-Time Stream Features): </w:t>
      </w:r>
      <w:r>
        <w:t>ROC-AUC = 0.884, PR-AUC = 0.841, F1-Score = 0.820.</w:t>
      </w:r>
    </w:p>
    <w:p w14:paraId="21EC6E51" w14:textId="77777777" w:rsidR="00850178" w:rsidRDefault="00000000">
      <w:pPr>
        <w:pStyle w:val="ListBullet"/>
        <w:spacing w:after="80"/>
      </w:pPr>
      <w:r>
        <w:rPr>
          <w:b/>
        </w:rPr>
        <w:t xml:space="preserve">• Ablated Model (Batch Static Features Only): </w:t>
      </w:r>
      <w:r>
        <w:t>ROC-AUC = 0.801, PR-AUC = 0.742, F1-Score = 0.725.</w:t>
      </w:r>
    </w:p>
    <w:p w14:paraId="0650D91E" w14:textId="77777777" w:rsidR="00850178" w:rsidRDefault="00000000">
      <w:pPr>
        <w:pStyle w:val="ListBullet"/>
        <w:spacing w:after="80"/>
      </w:pPr>
      <w:r>
        <w:rPr>
          <w:b/>
        </w:rPr>
        <w:t xml:space="preserve">• Performance Delta: </w:t>
      </w:r>
      <w:r>
        <w:t>Removing real-time session features resulted in a 9.39% absolute drop in ROC-AUC, proving that real-time behavioral signals are essential for high-accuracy churn forecasting.</w:t>
      </w:r>
    </w:p>
    <w:p w14:paraId="66A61682" w14:textId="77777777" w:rsidR="00850178" w:rsidRDefault="00000000">
      <w:pPr>
        <w:keepNext/>
        <w:spacing w:before="360" w:after="120"/>
      </w:pPr>
      <w:r>
        <w:rPr>
          <w:b/>
          <w:color w:val="1A365D"/>
          <w:sz w:val="28"/>
        </w:rPr>
        <w:t>6. DISCUSSION AND STRATEGIC IMPLICATIONS</w:t>
      </w:r>
    </w:p>
    <w:p w14:paraId="0CBA656D" w14:textId="77777777" w:rsidR="00850178" w:rsidRDefault="00000000">
      <w:pPr>
        <w:keepNext/>
        <w:spacing w:before="280" w:after="80"/>
      </w:pPr>
      <w:r>
        <w:rPr>
          <w:b/>
          <w:color w:val="2B6CB0"/>
          <w:sz w:val="24"/>
        </w:rPr>
        <w:t>6.1 Scientific Interpretation of Results</w:t>
      </w:r>
    </w:p>
    <w:p w14:paraId="65D1C529" w14:textId="77777777" w:rsidR="00850178" w:rsidRDefault="00000000">
      <w:pPr>
        <w:spacing w:after="120"/>
      </w:pPr>
      <w:r>
        <w:t>The empirical findings demonstrate that integrating real-time streaming pipelines with tree-based machine learning ensembles yields superior predictive performance for tabular e-commerce analytics. Gradient boosted decision trees (LightGBM) achieved higher accuracy (0.884 AUC) while executing in a fraction of the time (8.4 ms) required by neural architectures like TabNet (48.2 ms). This confirms that for structured tabular retail data, optimized tree ensembles remain the most computationally efficient architecture for operational real-time deployment.</w:t>
      </w:r>
    </w:p>
    <w:p w14:paraId="3B85A96F" w14:textId="77777777" w:rsidR="00850178" w:rsidRDefault="00000000">
      <w:pPr>
        <w:keepNext/>
        <w:spacing w:before="280" w:after="80"/>
      </w:pPr>
      <w:r>
        <w:rPr>
          <w:b/>
          <w:color w:val="2B6CB0"/>
          <w:sz w:val="24"/>
        </w:rPr>
        <w:t>6.2 Theoretical Implications for Business Intelligence</w:t>
      </w:r>
    </w:p>
    <w:p w14:paraId="11C1E49D" w14:textId="77777777" w:rsidR="00850178" w:rsidRDefault="00000000">
      <w:pPr>
        <w:spacing w:after="120"/>
      </w:pPr>
      <w:r>
        <w:t xml:space="preserve">This study advances BI theory by establishing that system responsiveness and model interpretability do not have to be mutually exclusive trade-offs. By combining polynomial-time TreeSHAP algorithms with </w:t>
      </w:r>
      <w:r>
        <w:lastRenderedPageBreak/>
        <w:t>indexed online feature stores, high-capacity non-linear models can be deployed transparently within operational web interfaces without degrading user experience.</w:t>
      </w:r>
    </w:p>
    <w:p w14:paraId="566C13FB" w14:textId="77777777" w:rsidR="00850178" w:rsidRDefault="00000000">
      <w:pPr>
        <w:keepNext/>
        <w:spacing w:before="280" w:after="80"/>
      </w:pPr>
      <w:r>
        <w:rPr>
          <w:b/>
          <w:color w:val="2B6CB0"/>
          <w:sz w:val="24"/>
        </w:rPr>
        <w:t>6.3 Practical Implications for E-Commerce Operations</w:t>
      </w:r>
    </w:p>
    <w:p w14:paraId="0B475FD3" w14:textId="77777777" w:rsidR="00850178" w:rsidRDefault="00000000">
      <w:pPr>
        <w:spacing w:after="120"/>
      </w:pPr>
      <w:r>
        <w:t>For store managers and executive leaders, embedding Explainable AI into BI dashboards provides direct operational value:</w:t>
      </w:r>
    </w:p>
    <w:p w14:paraId="4C33DABF" w14:textId="77777777" w:rsidR="00850178" w:rsidRDefault="00000000">
      <w:pPr>
        <w:pStyle w:val="ListBullet"/>
        <w:spacing w:after="80"/>
      </w:pPr>
      <w:r>
        <w:rPr>
          <w:b/>
        </w:rPr>
        <w:t xml:space="preserve">1. Reduced Marketing Waste: </w:t>
      </w:r>
      <w:r>
        <w:t>Rather than blasting site-wide discounts to all users, targeted win-back campaigns are triggered only for high-risk customers, preserving gross margins.</w:t>
      </w:r>
    </w:p>
    <w:p w14:paraId="7C5BBAF5" w14:textId="77777777" w:rsidR="00850178" w:rsidRDefault="00000000">
      <w:pPr>
        <w:pStyle w:val="ListBullet"/>
        <w:spacing w:after="80"/>
      </w:pPr>
      <w:r>
        <w:rPr>
          <w:b/>
        </w:rPr>
        <w:t xml:space="preserve">2. Root-Cause Interventions: </w:t>
      </w:r>
      <w:r>
        <w:t>If a customer's churn risk is driven by support ticket friction (Figure 5), the system triggers a customer service call rather than a generic promotional email, resolving the actual customer pain point.</w:t>
      </w:r>
    </w:p>
    <w:p w14:paraId="66204695" w14:textId="77777777" w:rsidR="00850178" w:rsidRDefault="00000000">
      <w:pPr>
        <w:pStyle w:val="ListBullet"/>
        <w:spacing w:after="80"/>
      </w:pPr>
      <w:r>
        <w:rPr>
          <w:b/>
        </w:rPr>
        <w:t xml:space="preserve">3. Accelerated Executive Decision-Making: </w:t>
      </w:r>
      <w:r>
        <w:t>Sub-second UI render times ensure executives can interactively explore multi-horizon forecasts without waiting for offline report generation.</w:t>
      </w:r>
    </w:p>
    <w:p w14:paraId="7F40AC73" w14:textId="77777777" w:rsidR="00850178" w:rsidRDefault="00000000">
      <w:pPr>
        <w:keepNext/>
        <w:spacing w:before="360" w:after="120"/>
      </w:pPr>
      <w:r>
        <w:rPr>
          <w:b/>
          <w:color w:val="1A365D"/>
          <w:sz w:val="28"/>
        </w:rPr>
        <w:t>7. SYSTEM LIMITATIONS</w:t>
      </w:r>
    </w:p>
    <w:p w14:paraId="6F24AE50" w14:textId="77777777" w:rsidR="00850178" w:rsidRDefault="00000000">
      <w:pPr>
        <w:pStyle w:val="ListBullet"/>
        <w:spacing w:after="80"/>
      </w:pPr>
      <w:r>
        <w:rPr>
          <w:b/>
        </w:rPr>
        <w:t xml:space="preserve">1. Cold-Start Problem for New Visitors: </w:t>
      </w:r>
      <w:r>
        <w:t>The predictive engine relies on historical interaction logs. Newly registered customers with zero purchase history display lower initial prediction accuracy until sufficient clickstream data is accumulated.</w:t>
      </w:r>
    </w:p>
    <w:p w14:paraId="6D401AB0" w14:textId="77777777" w:rsidR="00850178" w:rsidRDefault="00000000">
      <w:pPr>
        <w:pStyle w:val="ListBullet"/>
        <w:spacing w:after="80"/>
      </w:pPr>
      <w:r>
        <w:rPr>
          <w:b/>
        </w:rPr>
        <w:t xml:space="preserve">2. Regulatory and Data Privacy Constraints: </w:t>
      </w:r>
      <w:r>
        <w:t>Capturing high-granularity web clickstream events requires strict compliance with regional data privacy laws (GDPR, CCPA). User opt-outs reduce real-time feature availability.</w:t>
      </w:r>
    </w:p>
    <w:p w14:paraId="4F4CB3DE" w14:textId="77777777" w:rsidR="00850178" w:rsidRDefault="00000000">
      <w:pPr>
        <w:pStyle w:val="ListBullet"/>
        <w:spacing w:after="80"/>
      </w:pPr>
      <w:r>
        <w:rPr>
          <w:b/>
        </w:rPr>
        <w:t xml:space="preserve">3. Engineering Infrastructure Complexity: </w:t>
      </w:r>
      <w:r>
        <w:t>Operating dual streaming pipelines (Apache Kafka), online feature stores (Redis), and real-time model scoring endpoints requires dedicated cloud MLOps engineering resources compared to standard static SQL reporting.</w:t>
      </w:r>
    </w:p>
    <w:p w14:paraId="4C9D3512" w14:textId="77777777" w:rsidR="00850178" w:rsidRDefault="00000000">
      <w:pPr>
        <w:keepNext/>
        <w:spacing w:before="360" w:after="120"/>
      </w:pPr>
      <w:r>
        <w:rPr>
          <w:b/>
          <w:color w:val="1A365D"/>
          <w:sz w:val="28"/>
        </w:rPr>
        <w:t>8. CONCLUSION AND FUTURE WORK</w:t>
      </w:r>
    </w:p>
    <w:p w14:paraId="4609E32F" w14:textId="77777777" w:rsidR="00850178" w:rsidRDefault="00000000">
      <w:pPr>
        <w:keepNext/>
        <w:spacing w:before="280" w:after="80"/>
      </w:pPr>
      <w:r>
        <w:rPr>
          <w:b/>
          <w:color w:val="2B6CB0"/>
          <w:sz w:val="24"/>
        </w:rPr>
        <w:t>8.1 Summary of Findings</w:t>
      </w:r>
    </w:p>
    <w:p w14:paraId="045D4E48" w14:textId="77777777" w:rsidR="00850178" w:rsidRDefault="00000000">
      <w:pPr>
        <w:spacing w:after="120"/>
      </w:pPr>
      <w:r>
        <w:t>This research presented an enterprise-grade Smart Business Analytics Dashboard framework for electronic commerce that bridges descriptive reporting, machine-learning-driven predictive analytics, and local Explainable AI. By establishing a unified data pipeline combining Apache Kafka streaming, Feast feature stores, LightGBM model engines, and embedded TreeSHAP visual components, our architecture delivers state-of-the-art predictive performance (0.884 ROC-AUC for churn, 11.2% MAPE for demand forecasting) while maintaining sub-10 millisecond inference latencies.</w:t>
      </w:r>
    </w:p>
    <w:p w14:paraId="0A90C938" w14:textId="77777777" w:rsidR="00850178" w:rsidRDefault="00000000">
      <w:pPr>
        <w:keepNext/>
        <w:spacing w:before="280" w:after="80"/>
      </w:pPr>
      <w:r>
        <w:rPr>
          <w:b/>
          <w:color w:val="2B6CB0"/>
          <w:sz w:val="24"/>
        </w:rPr>
        <w:t>8.2 Future Research Directions</w:t>
      </w:r>
    </w:p>
    <w:p w14:paraId="6F84317F" w14:textId="77777777" w:rsidR="00850178" w:rsidRDefault="00000000">
      <w:pPr>
        <w:spacing w:after="120"/>
      </w:pPr>
      <w:r>
        <w:t>Future research will expand this framework along two key dimensions:</w:t>
      </w:r>
    </w:p>
    <w:p w14:paraId="3D6BD244" w14:textId="77777777" w:rsidR="00850178" w:rsidRDefault="00000000">
      <w:pPr>
        <w:pStyle w:val="ListBullet"/>
        <w:spacing w:after="80"/>
      </w:pPr>
      <w:r>
        <w:rPr>
          <w:b/>
        </w:rPr>
        <w:t xml:space="preserve">• Prescriptive Multi-Armed Bandits: </w:t>
      </w:r>
      <w:r>
        <w:t>Integrating contextual multi-armed bandit algorithms to automatically optimize personalized promotional offers based on live SHAP risk attributions.</w:t>
      </w:r>
    </w:p>
    <w:p w14:paraId="6C6E61BA" w14:textId="77777777" w:rsidR="00850178" w:rsidRDefault="00000000">
      <w:pPr>
        <w:pStyle w:val="ListBullet"/>
        <w:spacing w:after="80"/>
      </w:pPr>
      <w:r>
        <w:rPr>
          <w:b/>
        </w:rPr>
        <w:lastRenderedPageBreak/>
        <w:t xml:space="preserve">• Large Language Model (LLM) Integration: </w:t>
      </w:r>
      <w:r>
        <w:t>Embedding natural language querying interfaces (Text-to-SQL and natural language insight summarization) to allow store managers to query complex dashboard metrics using conversational text.</w:t>
      </w:r>
    </w:p>
    <w:p w14:paraId="61A81368" w14:textId="77777777" w:rsidR="00850178" w:rsidRDefault="00000000">
      <w:pPr>
        <w:keepNext/>
        <w:spacing w:before="360" w:after="120"/>
      </w:pPr>
      <w:r>
        <w:rPr>
          <w:b/>
          <w:color w:val="1A365D"/>
          <w:sz w:val="28"/>
        </w:rPr>
        <w:t>DECLARATIONS</w:t>
      </w:r>
    </w:p>
    <w:p w14:paraId="07FD59EC" w14:textId="77777777" w:rsidR="00850178" w:rsidRDefault="00000000">
      <w:pPr>
        <w:pStyle w:val="ListBullet"/>
        <w:spacing w:after="80"/>
      </w:pPr>
      <w:r>
        <w:rPr>
          <w:b/>
        </w:rPr>
        <w:t xml:space="preserve">• Funding: </w:t>
      </w:r>
      <w:r>
        <w:t>The author declares that no direct external funding was received for this specific architectural research project.</w:t>
      </w:r>
    </w:p>
    <w:p w14:paraId="1D6F5DBF" w14:textId="77777777" w:rsidR="00850178" w:rsidRDefault="00000000">
      <w:pPr>
        <w:pStyle w:val="ListBullet"/>
        <w:spacing w:after="80"/>
      </w:pPr>
      <w:r>
        <w:rPr>
          <w:b/>
        </w:rPr>
        <w:t xml:space="preserve">• Conflict of Interest: </w:t>
      </w:r>
      <w:r>
        <w:t>The author declares no conflicts of interest regarding the publication of this manuscript.</w:t>
      </w:r>
    </w:p>
    <w:p w14:paraId="546C25E7" w14:textId="77777777" w:rsidR="00850178" w:rsidRDefault="00000000">
      <w:pPr>
        <w:pStyle w:val="ListBullet"/>
        <w:spacing w:after="80"/>
      </w:pPr>
      <w:r>
        <w:rPr>
          <w:b/>
        </w:rPr>
        <w:t xml:space="preserve">• Ethics Statement: </w:t>
      </w:r>
      <w:r>
        <w:t>All datasets utilized in this study were fully sanitized, anonymized, and aggregated prior to analysis, ensuring zero exposure of Personally Identifiable Information (PII).</w:t>
      </w:r>
    </w:p>
    <w:p w14:paraId="53F6EDA0" w14:textId="77777777" w:rsidR="00850178" w:rsidRDefault="00000000">
      <w:pPr>
        <w:pStyle w:val="ListBullet"/>
        <w:spacing w:after="80"/>
      </w:pPr>
      <w:r>
        <w:rPr>
          <w:b/>
        </w:rPr>
        <w:t xml:space="preserve">• Data Availability: </w:t>
      </w:r>
      <w:r>
        <w:t>Data schemas, synthetic event generation scripts, and model evaluation code are accessible upon reasonable request for research replication.</w:t>
      </w:r>
    </w:p>
    <w:p w14:paraId="430703BE" w14:textId="77777777" w:rsidR="00850178" w:rsidRDefault="00000000">
      <w:pPr>
        <w:pStyle w:val="ListBullet"/>
        <w:spacing w:after="80"/>
      </w:pPr>
      <w:r>
        <w:rPr>
          <w:b/>
        </w:rPr>
        <w:t xml:space="preserve">• Author Contributions: </w:t>
      </w:r>
      <w:r>
        <w:t>Vasari Poojan Yadav conceived the research design, developed the machine learning pipelines, engineered the feature store architecture, conducted latency benchmarks, and authored the complete manuscript.</w:t>
      </w:r>
    </w:p>
    <w:p w14:paraId="7F276A15" w14:textId="77777777" w:rsidR="00850178" w:rsidRDefault="00000000">
      <w:pPr>
        <w:keepNext/>
        <w:spacing w:before="360" w:after="120"/>
      </w:pPr>
      <w:r>
        <w:rPr>
          <w:b/>
          <w:color w:val="1A365D"/>
          <w:sz w:val="28"/>
        </w:rPr>
        <w:t>ACKNOWLEDGEMENTS</w:t>
      </w:r>
    </w:p>
    <w:p w14:paraId="261DB492" w14:textId="77777777" w:rsidR="00850178" w:rsidRDefault="00000000">
      <w:pPr>
        <w:spacing w:after="120"/>
      </w:pPr>
      <w:r>
        <w:t>The author sincerely acknowledges the department computing facilities and academic support provided by Koneru Lakshmaiah Education Foundation during the execution and benchmarking of this smart analytics framework.</w:t>
      </w:r>
    </w:p>
    <w:p w14:paraId="5CA51224" w14:textId="77777777" w:rsidR="00850178" w:rsidRDefault="00000000">
      <w:pPr>
        <w:keepNext/>
        <w:spacing w:before="360" w:after="120"/>
      </w:pPr>
      <w:r>
        <w:rPr>
          <w:b/>
          <w:color w:val="1A365D"/>
          <w:sz w:val="28"/>
        </w:rPr>
        <w:t>REFERENCES</w:t>
      </w:r>
    </w:p>
    <w:p w14:paraId="43B5C565" w14:textId="77777777" w:rsidR="00850178" w:rsidRDefault="00000000">
      <w:pPr>
        <w:spacing w:after="60"/>
        <w:ind w:left="360" w:hanging="360"/>
      </w:pPr>
      <w:r>
        <w:rPr>
          <w:sz w:val="19"/>
        </w:rPr>
        <w:t>1. Chen, T., &amp; Guestrin, C. (2016). XGBoost: A scalable tree boosting system. Proceedings of the 22nd ACM SIGKDD International Conference on Knowledge Discovery and Data Mining, 785-794.</w:t>
      </w:r>
    </w:p>
    <w:p w14:paraId="2F62971F" w14:textId="77777777" w:rsidR="00850178" w:rsidRDefault="00000000">
      <w:pPr>
        <w:spacing w:after="60"/>
        <w:ind w:left="360" w:hanging="360"/>
      </w:pPr>
      <w:r>
        <w:rPr>
          <w:sz w:val="19"/>
        </w:rPr>
        <w:t>2. Ke, G., Meng, Q., Finley, T., Wang, T., Chen, W., Ma, W., Ye, Q., &amp; Liu, T. Y. (2017). LightGBM: A highly efficient gradient boosting decision tree. Advances in Neural Information Processing Systems, 30, 3146-3154.</w:t>
      </w:r>
    </w:p>
    <w:p w14:paraId="744C5B86" w14:textId="77777777" w:rsidR="00850178" w:rsidRDefault="00000000">
      <w:pPr>
        <w:spacing w:after="60"/>
        <w:ind w:left="360" w:hanging="360"/>
      </w:pPr>
      <w:r>
        <w:rPr>
          <w:sz w:val="19"/>
        </w:rPr>
        <w:t>3. Lundberg, S. M., &amp; Lee, S. I. (2017). A unified approach to interpreting model predictions. Advances in Neural Information Processing Systems, 30, 4765-4774.</w:t>
      </w:r>
    </w:p>
    <w:p w14:paraId="306006A9" w14:textId="77777777" w:rsidR="00850178" w:rsidRDefault="00000000">
      <w:pPr>
        <w:spacing w:after="60"/>
        <w:ind w:left="360" w:hanging="360"/>
      </w:pPr>
      <w:r>
        <w:rPr>
          <w:sz w:val="19"/>
        </w:rPr>
        <w:t>4. Lundberg, S. M., Erion, G., Chen, H., DeGrave, A., Pruthi, J. S., Nair, B., ... &amp; Lee, S. I. (2020). From local explanations to global understanding with explainable AI for trees. Nature Machine Intelligence, 2(1), 56-67.</w:t>
      </w:r>
    </w:p>
    <w:p w14:paraId="6EEC5948" w14:textId="77777777" w:rsidR="00850178" w:rsidRDefault="00000000">
      <w:pPr>
        <w:spacing w:after="60"/>
        <w:ind w:left="360" w:hanging="360"/>
      </w:pPr>
      <w:r>
        <w:rPr>
          <w:sz w:val="19"/>
        </w:rPr>
        <w:t>5. Arik, S. Ö., &amp; Pfister, T. (2021). TabNet: Attentive interpretable tabular learning. Proceedings of the AAAI Conference on Artificial Intelligence, 35(8), 6679-6687.</w:t>
      </w:r>
    </w:p>
    <w:p w14:paraId="7C2A21D4" w14:textId="77777777" w:rsidR="00850178" w:rsidRDefault="00000000">
      <w:pPr>
        <w:spacing w:after="60"/>
        <w:ind w:left="360" w:hanging="360"/>
      </w:pPr>
      <w:r>
        <w:rPr>
          <w:sz w:val="19"/>
        </w:rPr>
        <w:t>6. Fader, P. S., Hardie, B. G., &amp; Lee, K. L. (2005). 'Counting your customers' the easy way: An alternative to the Pareto/NBD model. Marketing Science, 24(2), 275-284.</w:t>
      </w:r>
    </w:p>
    <w:p w14:paraId="7760B9D3" w14:textId="77777777" w:rsidR="00850178" w:rsidRDefault="00000000">
      <w:pPr>
        <w:spacing w:after="60"/>
        <w:ind w:left="360" w:hanging="360"/>
      </w:pPr>
      <w:r>
        <w:rPr>
          <w:sz w:val="19"/>
        </w:rPr>
        <w:t>7. Lim, B., &amp; Zohren, S. (2021). Time-series forecasting with deep learning: a survey. Philosophical Transactions of the Royal Society A, 379(2192), 20200209.</w:t>
      </w:r>
    </w:p>
    <w:p w14:paraId="54C5BE93" w14:textId="77777777" w:rsidR="00850178" w:rsidRDefault="00000000">
      <w:pPr>
        <w:spacing w:after="60"/>
        <w:ind w:left="360" w:hanging="360"/>
      </w:pPr>
      <w:r>
        <w:rPr>
          <w:sz w:val="19"/>
        </w:rPr>
        <w:t>8. Ribeiro, M. T., Singh, S., &amp; Guestrin, C. (2016). 'Why should I trust you?': Explaining the predictions of any classifier. Proceedings of the 22nd ACM SIGKDD Conference on Knowledge Discovery and Data Mining, 1135-1144.</w:t>
      </w:r>
    </w:p>
    <w:p w14:paraId="412CEF09" w14:textId="77777777" w:rsidR="00850178" w:rsidRDefault="00000000">
      <w:pPr>
        <w:spacing w:after="60"/>
        <w:ind w:left="360" w:hanging="360"/>
      </w:pPr>
      <w:r>
        <w:rPr>
          <w:sz w:val="19"/>
        </w:rPr>
        <w:t>9. Gupta, S., &amp; Pathak, X. (2023). Real-time stream processing and business analytics architecture. Journal of Big Data Processing, 10(2), 112-129.</w:t>
      </w:r>
    </w:p>
    <w:p w14:paraId="73DAF9BE" w14:textId="77777777" w:rsidR="00850178" w:rsidRDefault="00000000">
      <w:pPr>
        <w:spacing w:after="60"/>
        <w:ind w:left="360" w:hanging="360"/>
      </w:pPr>
      <w:r>
        <w:rPr>
          <w:sz w:val="19"/>
        </w:rPr>
        <w:lastRenderedPageBreak/>
        <w:t>10. Zhang, Y., &amp; Chen, L. (2022). Customer churn prediction in e-commerce using hybrid machine learning algorithms. Decision Support Systems, 154, 113700.</w:t>
      </w:r>
    </w:p>
    <w:p w14:paraId="32ABE72F" w14:textId="77777777" w:rsidR="00850178" w:rsidRDefault="00000000">
      <w:pPr>
        <w:spacing w:after="60"/>
        <w:ind w:left="360" w:hanging="360"/>
      </w:pPr>
      <w:r>
        <w:rPr>
          <w:sz w:val="19"/>
        </w:rPr>
        <w:t>11. Few, S. (2013). Information Dashboard Design: Displaying Data for At-a-Glance Monitoring. Analytics Press.</w:t>
      </w:r>
    </w:p>
    <w:p w14:paraId="07D0C4FA" w14:textId="77777777" w:rsidR="00850178" w:rsidRDefault="00000000">
      <w:pPr>
        <w:spacing w:after="60"/>
        <w:ind w:left="360" w:hanging="360"/>
      </w:pPr>
      <w:r>
        <w:rPr>
          <w:sz w:val="19"/>
        </w:rPr>
        <w:t>12. Shneiderman, B. (2003). The eyes have it: A task by data type taxonomy for information visualizations. Visual Languages, IEEE Symposium on, 336-343.</w:t>
      </w:r>
    </w:p>
    <w:p w14:paraId="6F21688F" w14:textId="77777777" w:rsidR="00850178" w:rsidRDefault="00000000">
      <w:pPr>
        <w:spacing w:after="60"/>
        <w:ind w:left="360" w:hanging="360"/>
      </w:pPr>
      <w:r>
        <w:rPr>
          <w:sz w:val="19"/>
        </w:rPr>
        <w:t>13. Hyndman, R. J., &amp; Athanasopoulos, G. (2021). Forecasting: principles and practice. OTexts.</w:t>
      </w:r>
    </w:p>
    <w:p w14:paraId="6FB52990" w14:textId="77777777" w:rsidR="00850178" w:rsidRDefault="00000000">
      <w:pPr>
        <w:spacing w:after="60"/>
        <w:ind w:left="360" w:hanging="360"/>
      </w:pPr>
      <w:r>
        <w:rPr>
          <w:sz w:val="19"/>
        </w:rPr>
        <w:t>14. Box, G. E., Jenkins, G. M., Reinsel, G. C., &amp; Ljung, G. M. (2015). Time series analysis: forecasting and control. John Wiley &amp; Sons.</w:t>
      </w:r>
    </w:p>
    <w:p w14:paraId="14085DA5" w14:textId="77777777" w:rsidR="00850178" w:rsidRDefault="00000000">
      <w:pPr>
        <w:spacing w:after="60"/>
        <w:ind w:left="360" w:hanging="360"/>
      </w:pPr>
      <w:r>
        <w:rPr>
          <w:sz w:val="19"/>
        </w:rPr>
        <w:t>15. Prokhorenkova, L., Gusev, G., Vorobev, A., Dorogush, A. V., &amp; Gulin, A. (2018). CatBoost: unbiased boosting with categorical features. Advances in Neural Information Processing Systems, 31, 6638-6648.</w:t>
      </w:r>
    </w:p>
    <w:p w14:paraId="1FFD3ED0" w14:textId="77777777" w:rsidR="00850178" w:rsidRDefault="00000000">
      <w:pPr>
        <w:spacing w:after="60"/>
        <w:ind w:left="360" w:hanging="360"/>
      </w:pPr>
      <w:r>
        <w:rPr>
          <w:sz w:val="19"/>
        </w:rPr>
        <w:t>16. Molnar, C. (2022). Interpretable Machine Learning: A Guide for Making Black Box Models Explainable. Leanpub.</w:t>
      </w:r>
    </w:p>
    <w:p w14:paraId="515F6A0F" w14:textId="77777777" w:rsidR="00850178" w:rsidRDefault="00000000">
      <w:pPr>
        <w:spacing w:after="60"/>
        <w:ind w:left="360" w:hanging="360"/>
      </w:pPr>
      <w:r>
        <w:rPr>
          <w:sz w:val="19"/>
        </w:rPr>
        <w:t>17. Wedel, M., &amp; Kannan, P. K. (2016). Marketing analytics for data-rich environments. Journal of Marketing, 80(6), 97-121.</w:t>
      </w:r>
    </w:p>
    <w:p w14:paraId="547499A4" w14:textId="77777777" w:rsidR="00850178" w:rsidRDefault="00000000">
      <w:pPr>
        <w:spacing w:after="60"/>
        <w:ind w:left="360" w:hanging="360"/>
      </w:pPr>
      <w:r>
        <w:rPr>
          <w:sz w:val="19"/>
        </w:rPr>
        <w:t>18. Verhoef, P. C., Kooge, E., &amp; Walk, N. (2016). Creating value with big data analytics: Making smarter marketing decisions. Routledge.</w:t>
      </w:r>
    </w:p>
    <w:p w14:paraId="1836FA67" w14:textId="77777777" w:rsidR="00850178" w:rsidRDefault="00000000">
      <w:pPr>
        <w:spacing w:after="60"/>
        <w:ind w:left="360" w:hanging="360"/>
      </w:pPr>
      <w:r>
        <w:rPr>
          <w:sz w:val="19"/>
        </w:rPr>
        <w:t>19. Chawla, N. V., Bowyer, K. W., Hall, L. O., &amp; Kegelmeyer, W. P. (2002). SMOTE: synthetic minority over-sampling technique. Journal of Artificial Intelligence Research, 16, 321-357.</w:t>
      </w:r>
    </w:p>
    <w:p w14:paraId="10310262" w14:textId="77777777" w:rsidR="00850178" w:rsidRDefault="00000000">
      <w:pPr>
        <w:spacing w:after="60"/>
        <w:ind w:left="360" w:hanging="360"/>
      </w:pPr>
      <w:r w:rsidRPr="005B28F3">
        <w:rPr>
          <w:sz w:val="19"/>
          <w:lang w:val="es-ES"/>
        </w:rPr>
        <w:t xml:space="preserve">20. Akiba, T., Sano, S., Yanase, T., Ohta, T., &amp; Koyama, M. (2019). </w:t>
      </w:r>
      <w:proofErr w:type="spellStart"/>
      <w:r>
        <w:rPr>
          <w:sz w:val="19"/>
        </w:rPr>
        <w:t>Optuna</w:t>
      </w:r>
      <w:proofErr w:type="spellEnd"/>
      <w:r>
        <w:rPr>
          <w:sz w:val="19"/>
        </w:rPr>
        <w:t>: A next-generation hyperparameter optimization framework. Proceedings of the 25th ACM SIGKDD Conference, 2623-2631.</w:t>
      </w:r>
    </w:p>
    <w:p w14:paraId="43352F96" w14:textId="77777777" w:rsidR="00850178" w:rsidRDefault="00000000">
      <w:pPr>
        <w:spacing w:after="60"/>
        <w:ind w:left="360" w:hanging="360"/>
      </w:pPr>
      <w:r>
        <w:rPr>
          <w:sz w:val="19"/>
        </w:rPr>
        <w:t>21. Kreps, J., Narkhede, N., &amp; Rao, J. (2011). Kafka: A distributed messaging system for log processing. Proceedings of NetDB, 1-7.</w:t>
      </w:r>
    </w:p>
    <w:p w14:paraId="6A6F59FE" w14:textId="77777777" w:rsidR="00850178" w:rsidRDefault="00000000">
      <w:pPr>
        <w:spacing w:after="60"/>
        <w:ind w:left="360" w:hanging="360"/>
      </w:pPr>
      <w:r>
        <w:rPr>
          <w:sz w:val="19"/>
        </w:rPr>
        <w:t>22. Armbrust, M., Ghodsi, A., Xin, R., &amp; Zaharia, M. (2021). Lakehouse: A new generation of open platforms that unify data warehousing and advanced analytics. Proceedings of CIDR.</w:t>
      </w:r>
    </w:p>
    <w:p w14:paraId="4CDC5092" w14:textId="77777777" w:rsidR="00850178" w:rsidRDefault="00000000">
      <w:pPr>
        <w:spacing w:after="60"/>
        <w:ind w:left="360" w:hanging="360"/>
      </w:pPr>
      <w:r>
        <w:rPr>
          <w:sz w:val="19"/>
        </w:rPr>
        <w:t>23. Stonebraker, M., &amp; Weisberg, A. (2013). The DBMS technology stack for big data. Communications of the ACM, 56(9), 36-42.</w:t>
      </w:r>
    </w:p>
    <w:p w14:paraId="3B0BCF13" w14:textId="77777777" w:rsidR="00850178" w:rsidRDefault="00000000">
      <w:pPr>
        <w:spacing w:after="60"/>
        <w:ind w:left="360" w:hanging="360"/>
      </w:pPr>
      <w:r>
        <w:rPr>
          <w:sz w:val="19"/>
        </w:rPr>
        <w:t>24. He, H., &amp; Garcia, E. A. (2009). Learning from imbalanced data. IEEE Transactions on Knowledge and Data Engineering, 21(9), 1263-1284.</w:t>
      </w:r>
    </w:p>
    <w:p w14:paraId="4F13E42B" w14:textId="77777777" w:rsidR="00850178" w:rsidRDefault="00000000">
      <w:pPr>
        <w:spacing w:after="60"/>
        <w:ind w:left="360" w:hanging="360"/>
      </w:pPr>
      <w:r>
        <w:rPr>
          <w:sz w:val="19"/>
        </w:rPr>
        <w:t>25. Sundararajan, M., Taly, A., &amp; Yan, Q. (2017). Axiomatic attribution for deep networks. International Conference on Machine Learning, 3319-3328.</w:t>
      </w:r>
    </w:p>
    <w:p w14:paraId="49251E69" w14:textId="77777777" w:rsidR="00850178" w:rsidRDefault="00000000">
      <w:pPr>
        <w:spacing w:after="60"/>
        <w:ind w:left="360" w:hanging="360"/>
      </w:pPr>
      <w:r>
        <w:rPr>
          <w:sz w:val="19"/>
        </w:rPr>
        <w:t>26. Guidotti, R., Monreale, A., Ruggieri, S., Turini, F., Giannotti, F., &amp; Pedreschi, D. (2018). A survey of methods for explaining black box models. ACM Computing Surveys (CSUR), 51(5), 1-42.</w:t>
      </w:r>
    </w:p>
    <w:p w14:paraId="300C855A" w14:textId="77777777" w:rsidR="00850178" w:rsidRDefault="00000000">
      <w:pPr>
        <w:spacing w:after="60"/>
        <w:ind w:left="360" w:hanging="360"/>
      </w:pPr>
      <w:r>
        <w:rPr>
          <w:sz w:val="19"/>
        </w:rPr>
        <w:t>27. Netzer, O., Lahaie, S., &amp; Siroker, D. (2012). Business intelligence in digital retail platforms. Management Science, 58(8), 1420-1438.</w:t>
      </w:r>
    </w:p>
    <w:p w14:paraId="6B64940D" w14:textId="77777777" w:rsidR="00850178" w:rsidRDefault="00000000">
      <w:pPr>
        <w:spacing w:after="60"/>
        <w:ind w:left="360" w:hanging="360"/>
      </w:pPr>
      <w:r>
        <w:rPr>
          <w:sz w:val="19"/>
        </w:rPr>
        <w:t>28. Hastie, T., Tibshirani, R., &amp; Friedman, J. (2009). The Elements of Statistical Learning: Data Mining, Inference, and Prediction. Springer.</w:t>
      </w:r>
    </w:p>
    <w:p w14:paraId="0C90A612" w14:textId="77777777" w:rsidR="00850178" w:rsidRDefault="00000000">
      <w:pPr>
        <w:spacing w:after="60"/>
        <w:ind w:left="360" w:hanging="360"/>
      </w:pPr>
      <w:r>
        <w:rPr>
          <w:sz w:val="19"/>
        </w:rPr>
        <w:t>29. Breiman, L. (2001). Random forests. Machine Learning, 45(1), 5-32.</w:t>
      </w:r>
    </w:p>
    <w:p w14:paraId="243FB105" w14:textId="77777777" w:rsidR="00850178" w:rsidRDefault="00000000">
      <w:pPr>
        <w:spacing w:after="60"/>
        <w:ind w:left="360" w:hanging="360"/>
      </w:pPr>
      <w:r>
        <w:rPr>
          <w:sz w:val="19"/>
        </w:rPr>
        <w:t>30. Fawcett, T. (2006). An introduction to ROC analysis. Pattern Recognition Letters, 27(8), 861-874.</w:t>
      </w:r>
    </w:p>
    <w:p w14:paraId="3A76D44C" w14:textId="77777777" w:rsidR="00850178" w:rsidRDefault="00000000">
      <w:pPr>
        <w:spacing w:after="60"/>
        <w:ind w:left="360" w:hanging="360"/>
      </w:pPr>
      <w:r>
        <w:rPr>
          <w:sz w:val="19"/>
        </w:rPr>
        <w:t>31. Provost, F., &amp; Fawcett, T. (2013). Data science for business: What you need to know about data mining and data-analytic thinking. O'Reilly Media, Inc.</w:t>
      </w:r>
    </w:p>
    <w:p w14:paraId="7BBB4C62" w14:textId="77777777" w:rsidR="00850178" w:rsidRDefault="00000000">
      <w:pPr>
        <w:spacing w:after="60"/>
        <w:ind w:left="360" w:hanging="360"/>
      </w:pPr>
      <w:r>
        <w:rPr>
          <w:sz w:val="19"/>
        </w:rPr>
        <w:t>32. Lim, B., Arermu, S. O., &amp; Meng, L. (2022). Temporal fusion transformers for interpretable multi-horizon time series forecasting. International Journal of Forecasting, 38(4), 1435-1452.</w:t>
      </w:r>
    </w:p>
    <w:sectPr w:rsidR="0085017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456431">
    <w:abstractNumId w:val="8"/>
  </w:num>
  <w:num w:numId="2" w16cid:durableId="1131678556">
    <w:abstractNumId w:val="6"/>
  </w:num>
  <w:num w:numId="3" w16cid:durableId="453445973">
    <w:abstractNumId w:val="5"/>
  </w:num>
  <w:num w:numId="4" w16cid:durableId="105125204">
    <w:abstractNumId w:val="4"/>
  </w:num>
  <w:num w:numId="5" w16cid:durableId="581110265">
    <w:abstractNumId w:val="7"/>
  </w:num>
  <w:num w:numId="6" w16cid:durableId="220487131">
    <w:abstractNumId w:val="3"/>
  </w:num>
  <w:num w:numId="7" w16cid:durableId="1798716385">
    <w:abstractNumId w:val="2"/>
  </w:num>
  <w:num w:numId="8" w16cid:durableId="1343126723">
    <w:abstractNumId w:val="1"/>
  </w:num>
  <w:num w:numId="9" w16cid:durableId="2027246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28F3"/>
    <w:rsid w:val="006877AD"/>
    <w:rsid w:val="008501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1C3ED"/>
  <w14:defaultImageDpi w14:val="300"/>
  <w15:docId w15:val="{2AC427E0-1A3D-4FCE-892C-96CAC2ED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5339</Words>
  <Characters>30436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7075405961p@gmail.com</cp:lastModifiedBy>
  <cp:revision>3</cp:revision>
  <dcterms:created xsi:type="dcterms:W3CDTF">2013-12-23T23:15:00Z</dcterms:created>
  <dcterms:modified xsi:type="dcterms:W3CDTF">2026-09-21T04:52:00Z</dcterms:modified>
  <cp:category/>
</cp:coreProperties>
</file>