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end"/>
        <w:rPr>
          <w:color w:val="777777"/>
          <w:sz w:val="16"/>
          <w:bdr w:val="single" w:sz="2" w:space="4" w:color="DDDDDD"/>
        </w:rPr>
      </w:pPr>
      <w:r>
        <w:rPr>
          <w:color w:val="777777"/>
          <w:sz w:val="16"/>
          <w:bdr w:val="single" w:sz="2" w:space="4" w:color="DDDDDD"/>
        </w:rPr>
        <w:t>SOLAR ROBO  |  ENGINEERING HANDOFF</w:t>
      </w:r>
    </w:p>
    <w:p>
      <w:pPr>
        <w:pStyle w:val="Heading1"/>
        <w:pBdr>
          <w:bottom w:val="single" w:sz="12" w:space="8" w:color="2F75B5"/>
        </w:pBdr>
        <w:bidi w:val="0"/>
        <w:jc w:val="start"/>
        <w:rPr/>
      </w:pPr>
      <w:r>
        <w:rPr/>
        <w:t>Solar Robo Offline Talk Handoff</w:t>
      </w:r>
    </w:p>
    <w:p>
      <w:pPr>
        <w:pStyle w:val="BodyTextsubtitle"/>
        <w:bidi w:val="0"/>
        <w:jc w:val="start"/>
        <w:rPr/>
      </w:pPr>
      <w:r>
        <w:rPr/>
        <w:t>Implementation status, architecture boundary, and next-agent plan</w:t>
      </w:r>
    </w:p>
    <w:p>
      <w:pPr>
        <w:pStyle w:val="BodyText"/>
        <w:bidi w:val="0"/>
        <w:spacing w:before="0" w:after="140"/>
        <w:jc w:val="start"/>
        <w:rPr/>
      </w:pPr>
      <w:r>
        <w:rPr/>
        <w:t>Prepared for continuation of the Solar Robo Android project.</w:t>
      </w:r>
    </w:p>
    <w:p>
      <w:pPr>
        <w:pStyle w:val="Heading2"/>
        <w:numPr>
          <w:ilvl w:val="0"/>
          <w:numId w:val="0"/>
        </w:numPr>
        <w:bidi w:val="0"/>
        <w:spacing w:before="400" w:after="120"/>
        <w:jc w:val="start"/>
        <w:rPr/>
      </w:pPr>
      <w:r>
        <w:rPr/>
        <w:t>Purpose</w:t>
      </w:r>
    </w:p>
    <w:p>
      <w:pPr>
        <w:pStyle w:val="BodyText"/>
        <w:bidi w:val="0"/>
        <w:spacing w:before="0" w:after="140"/>
        <w:jc w:val="start"/>
        <w:rPr/>
      </w:pPr>
      <w:r>
        <w:rPr/>
        <w:t>This document records the offline Talk foundation implemented in the current change and the work still required before claiming a production-ready ternary neural model for 4 GB Android devices.</w:t>
      </w:r>
    </w:p>
    <w:p>
      <w:pPr>
        <w:pStyle w:val="Heading2"/>
        <w:numPr>
          <w:ilvl w:val="0"/>
          <w:numId w:val="0"/>
        </w:numPr>
        <w:bidi w:val="0"/>
        <w:spacing w:before="400" w:after="120"/>
        <w:jc w:val="start"/>
        <w:rPr/>
      </w:pPr>
      <w:r>
        <w:rPr/>
        <w:t>Implemented in this change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Added `:feature:talk` to the application dependencies.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Added a `Talk` route to the app navigation graph and primary navigation bar.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Replaced the Talk module's mock AI binding with `OnDeviceSolarAiEngine`.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Added a zero-network, deterministic solar assistant behind the existing `AiEngine` abstraction.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Added playful but technically bounded responses for greetings, battery, panel position, weather, safety, capabilities, and unknown questions.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Preserved the safety boundary: the AI layer returns explanations and intent metadata only; it does not actuate hardware.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Improved Talk UI with lifecycle-aware state collection, clearer offline status, accessible input labeling, multiline composer support, and error-container presentation.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Added `javax.inject` to `:core:ai` for the injectable local engine.</w:t>
      </w:r>
    </w:p>
    <w:p>
      <w:pPr>
        <w:pStyle w:val="Heading2"/>
        <w:numPr>
          <w:ilvl w:val="0"/>
          <w:numId w:val="0"/>
        </w:numPr>
        <w:bidi w:val="0"/>
        <w:spacing w:before="400" w:after="120"/>
        <w:jc w:val="start"/>
        <w:rPr/>
      </w:pPr>
      <w:r>
        <w:rPr/>
        <w:t>Important limitation</w:t>
      </w:r>
    </w:p>
    <w:p>
      <w:pPr>
        <w:pStyle w:val="BodyText"/>
        <w:bidi w:val="0"/>
        <w:spacing w:before="0" w:after="140"/>
        <w:jc w:val="start"/>
        <w:rPr/>
      </w:pPr>
      <w:r>
        <w:rPr>
          <w:rStyle w:val="SourceText"/>
        </w:rPr>
        <w:t>OnDeviceSolarAiEngine</w:t>
      </w:r>
      <w:r>
        <w:rPr/>
        <w:t xml:space="preserve"> is a small deterministic fallback, not a ternary neural model. It does not load model weights, perform neural inference, or provide open-domain language generation. It is intentionally fast and offline, and it gives the app a safe working Talk experience while a real model backend is selected and integrated.</w:t>
      </w:r>
    </w:p>
    <w:p>
      <w:pPr>
        <w:pStyle w:val="BodyText"/>
        <w:bidi w:val="0"/>
        <w:spacing w:before="0" w:after="140"/>
        <w:jc w:val="start"/>
        <w:rPr/>
      </w:pPr>
      <w:r>
        <w:rPr/>
        <w:t>Do not describe the current APK as containing a production ternary model.</w:t>
      </w:r>
    </w:p>
    <w:p>
      <w:pPr>
        <w:pStyle w:val="Heading2"/>
        <w:numPr>
          <w:ilvl w:val="0"/>
          <w:numId w:val="0"/>
        </w:numPr>
        <w:bidi w:val="0"/>
        <w:spacing w:before="400" w:after="120"/>
        <w:jc w:val="start"/>
        <w:rPr/>
      </w:pPr>
      <w:r>
        <w:rPr/>
        <w:t>Recommended production path</w:t>
      </w:r>
    </w:p>
    <w:p>
      <w:pPr>
        <w:pStyle w:val="BodyText"/>
        <w:bidi w:val="0"/>
        <w:spacing w:before="0" w:after="140"/>
        <w:jc w:val="start"/>
        <w:rPr/>
      </w:pPr>
      <w:r>
        <w:rPr/>
        <w:t>1. Select a permissively licensed compact instruct model that can be converted to ternary or compatible low-bit weights.</w:t>
      </w:r>
    </w:p>
    <w:p>
      <w:pPr>
        <w:pStyle w:val="BodyText"/>
        <w:bidi w:val="0"/>
        <w:spacing w:before="0" w:after="140"/>
        <w:jc w:val="start"/>
        <w:rPr/>
      </w:pPr>
      <w:r>
        <w:rPr/>
        <w:t>2. Benchmark candidates on the target Vivo V2205 and representative 4 GB devices using cold start, first-token latency, sustained generation, peak RSS, and battery drain.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3. Add a native on-device runtime behind </w:t>
      </w:r>
      <w:r>
        <w:rPr>
          <w:rStyle w:val="SourceText"/>
        </w:rPr>
        <w:t>AiEngine</w:t>
      </w:r>
      <w:r>
        <w:rPr/>
        <w:t>, preferably with JNI/NDK isolation and a cancellation-aware streaming API.</w:t>
      </w:r>
    </w:p>
    <w:p>
      <w:pPr>
        <w:pStyle w:val="BodyText"/>
        <w:bidi w:val="0"/>
        <w:spacing w:before="0" w:after="140"/>
        <w:jc w:val="start"/>
        <w:rPr/>
      </w:pPr>
      <w:r>
        <w:rPr/>
        <w:t>4. Keep model files out of the Git repository. Add a reproducible download, checksum, conversion, and packaging step.</w:t>
      </w:r>
    </w:p>
    <w:p>
      <w:pPr>
        <w:pStyle w:val="BodyText"/>
        <w:bidi w:val="0"/>
        <w:spacing w:before="0" w:after="140"/>
        <w:jc w:val="start"/>
        <w:rPr/>
      </w:pPr>
      <w:r>
        <w:rPr/>
        <w:t>5. Store the model in app-private storage and expose model availability, version, checksum, and memory budget in diagnostics.</w:t>
      </w:r>
    </w:p>
    <w:p>
      <w:pPr>
        <w:pStyle w:val="BodyText"/>
        <w:bidi w:val="0"/>
        <w:spacing w:before="0" w:after="140"/>
        <w:jc w:val="start"/>
        <w:rPr/>
      </w:pPr>
      <w:r>
        <w:rPr/>
        <w:t>6. Use a small context window and bounded output tokens. Avoid loading multiple models or duplicating weight buffers.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7. Add a no-model and model-load-failure fallback to </w:t>
      </w:r>
      <w:r>
        <w:rPr>
          <w:rStyle w:val="SourceText"/>
        </w:rPr>
        <w:t>OnDeviceSolarAiEngine</w:t>
      </w:r>
      <w:r>
        <w:rPr/>
        <w:t>.</w:t>
      </w:r>
    </w:p>
    <w:p>
      <w:pPr>
        <w:pStyle w:val="BodyText"/>
        <w:bidi w:val="0"/>
        <w:spacing w:before="0" w:after="140"/>
        <w:jc w:val="start"/>
        <w:rPr/>
      </w:pPr>
      <w:r>
        <w:rPr/>
        <w:t>8. Add instrumentation tests and a device benchmark matrix before enabling the neural backend by default.</w:t>
      </w:r>
    </w:p>
    <w:p>
      <w:pPr>
        <w:pStyle w:val="BodyText"/>
        <w:bidi w:val="0"/>
        <w:spacing w:before="0" w:after="140"/>
        <w:jc w:val="start"/>
        <w:rPr/>
      </w:pPr>
      <w:r>
        <w:rPr/>
        <w:t>9. Keep intent extraction advisory. Any physical command must go through the deterministic Safety Gate and require explicit product-approved behavior.</w:t>
      </w:r>
    </w:p>
    <w:p>
      <w:pPr>
        <w:pStyle w:val="Heading2"/>
        <w:numPr>
          <w:ilvl w:val="0"/>
          <w:numId w:val="0"/>
        </w:numPr>
        <w:bidi w:val="0"/>
        <w:spacing w:before="400" w:after="120"/>
        <w:jc w:val="start"/>
        <w:rPr/>
      </w:pPr>
      <w:r>
        <w:rPr/>
        <w:t>Suggested backend contract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Extend </w:t>
      </w:r>
      <w:r>
        <w:rPr>
          <w:rStyle w:val="SourceText"/>
        </w:rPr>
        <w:t>AiEngine</w:t>
      </w:r>
      <w:r>
        <w:rPr/>
        <w:t xml:space="preserve"> only when the runtime needs streaming or lifecycle controls. A compatible direction is: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`load(modelSource): ModelLoadResult`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`generate(request, generationConfig): Flow&lt;AiToken&gt;`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`cancelGeneration()`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`unload()`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`capabilities(): AiCapabilities`</w:t>
      </w:r>
    </w:p>
    <w:p>
      <w:pPr>
        <w:pStyle w:val="BodyText"/>
        <w:bidi w:val="0"/>
        <w:spacing w:before="0" w:after="140"/>
        <w:jc w:val="start"/>
        <w:rPr/>
      </w:pPr>
      <w:r>
        <w:rPr/>
        <w:t xml:space="preserve">The Talk UI should remain independent of the runtime. </w:t>
      </w:r>
      <w:r>
        <w:rPr>
          <w:rStyle w:val="SourceText"/>
        </w:rPr>
        <w:t>TalkRepositoryImpl</w:t>
      </w:r>
      <w:r>
        <w:rPr/>
        <w:t xml:space="preserve"> should collect the bounded stream, append partial assistant text, and expose load/generation errors without crashing the process.</w:t>
      </w:r>
    </w:p>
    <w:p>
      <w:pPr>
        <w:pStyle w:val="Heading2"/>
        <w:numPr>
          <w:ilvl w:val="0"/>
          <w:numId w:val="0"/>
        </w:numPr>
        <w:bidi w:val="0"/>
        <w:spacing w:before="400" w:after="120"/>
        <w:jc w:val="start"/>
        <w:rPr/>
      </w:pPr>
      <w:r>
        <w:rPr/>
        <w:t>4 GB device guardrails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Prefer one small quantized model rather than a general-purpose large model.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Set a hard memory budget and fail closed to the deterministic fallback when the budget is exceeded.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Keep context to recent messages only; the existing repository already caps context to six messages and 500 characters per message.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Run inference off the main thread.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Support cancellation when the screen leaves composition or the user sends a new request.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Avoid automatic model download on first launch unless the user explicitly opts in and storage/network conditions are clear.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Provide a visible `Offline local assistant` status so users understand the capability boundary.</w:t>
      </w:r>
    </w:p>
    <w:p>
      <w:pPr>
        <w:pStyle w:val="Heading2"/>
        <w:numPr>
          <w:ilvl w:val="0"/>
          <w:numId w:val="0"/>
        </w:numPr>
        <w:bidi w:val="0"/>
        <w:spacing w:before="400" w:after="120"/>
        <w:jc w:val="start"/>
        <w:rPr/>
      </w:pPr>
      <w:r>
        <w:rPr/>
        <w:t>Validation completed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`bash ./gradlew :feature:talk:test :app:compileDebugKotlin --no-daemon` — passed.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Existing Talk ViewModel tests — passed through the feature test task.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The app navigation now exposes Talk from the main navigation bar.</w:t>
      </w:r>
    </w:p>
    <w:p>
      <w:pPr>
        <w:pStyle w:val="Heading2"/>
        <w:numPr>
          <w:ilvl w:val="0"/>
          <w:numId w:val="0"/>
        </w:numPr>
        <w:bidi w:val="0"/>
        <w:spacing w:before="400" w:after="120"/>
        <w:jc w:val="start"/>
        <w:rPr/>
      </w:pPr>
      <w:r>
        <w:rPr/>
        <w:t>Files changed for Talk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`SolarRobo/app/build.gradle.kts`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`SolarRobo/app/src/main/java/com/solarrobo/app/App.kt`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`SolarRobo/app/src/main/java/com/solarrobo/app/navigation/AppNavHost.kt`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`SolarRobo/core/ai/build.gradle.kts`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`SolarRobo/core/ai/src/main/java/com/solarrobo/core/ai/OnDeviceSolarAiEngine.kt`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`SolarRobo/feature/talk/build.gradle.kts`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`SolarRobo/feature/talk/src/main/java/com/solarrobo/feature/talk/TalkModule.kt`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`SolarRobo/feature/talk/src/main/java/com/solarrobo/feature/talk/components/Composer.kt`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`SolarRobo/feature/talk/src/main/java/com/solarrobo/feature/talk/presentation/TalkScreen.kt`</w:t>
      </w:r>
    </w:p>
    <w:p>
      <w:pPr>
        <w:pStyle w:val="Heading2"/>
        <w:numPr>
          <w:ilvl w:val="0"/>
          <w:numId w:val="0"/>
        </w:numPr>
        <w:bidi w:val="0"/>
        <w:spacing w:before="400" w:after="120"/>
        <w:jc w:val="start"/>
        <w:rPr/>
      </w:pPr>
      <w:r>
        <w:rPr/>
        <w:t>Handoff acceptance criteria for the next agent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Provide model license and model card.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Provide reproducible model conversion and checksum verification.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Demonstrate offline inference with network disabled.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Measure peak memory and latency on a 4 GB device.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Demonstrate fallback behavior when the model is unavailable or exceeds the memory budget.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>Verify no AI output can bypass the Safety Gate.</w:t>
      </w:r>
    </w:p>
    <w:p>
      <w:pPr>
        <w:pStyle w:val="BodyText"/>
        <w:bidi w:val="0"/>
        <w:spacing w:before="400" w:after="140"/>
        <w:ind w:hanging="0" w:start="0" w:end="0"/>
        <w:jc w:val="center"/>
        <w:rPr>
          <w:color w:val="777777"/>
          <w:sz w:val="16"/>
          <w:bdr w:val="single" w:sz="2" w:space="4" w:color="DDDDDD"/>
        </w:rPr>
      </w:pPr>
      <w:r>
        <w:rPr>
          <w:color w:val="777777"/>
          <w:sz w:val="16"/>
          <w:bdr w:val="single" w:sz="2" w:space="4" w:color="DDDDDD"/>
        </w:rPr>
        <w:t>Offline Talk implementation handoff</w:t>
      </w:r>
    </w:p>
    <w:sectPr>
      <w:type w:val="nextPage"/>
      <w:pgSz w:w="11906" w:h="16838"/>
      <w:pgMar w:left="1008" w:right="1008" w:gutter="0" w:header="0" w:top="1008" w:footer="0" w:bottom="1008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altName w:val="Calibr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/>
    </w:pPr>
    <w:rPr>
      <w:rFonts w:ascii="Aptos;Calibri;sans-serif" w:hAnsi="Aptos;Calibri;sans-serif" w:eastAsia="Aptos;Calibri;sans-serif" w:cs="Aptos;Calibri;sans-serif"/>
      <w:color w:val="202124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8" w:color="2F75B5"/>
      </w:pBdr>
    </w:pPr>
    <w:rPr>
      <w:rFonts w:ascii="Noto Sans" w:hAnsi="Noto Sans"/>
      <w:b/>
      <w:bCs/>
      <w:color w:val="17365D"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400" w:after="120"/>
      <w:outlineLvl w:val="1"/>
    </w:pPr>
    <w:rPr>
      <w:rFonts w:ascii="Liberation Serif" w:hAnsi="Liberation Serif" w:eastAsia="Noto Serif CJK SC" w:cs="Lohit Devanagari"/>
      <w:b/>
      <w:bCs/>
      <w:color w:val="17365D"/>
      <w:sz w:val="34"/>
      <w:szCs w:val="34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80" w:after="120"/>
      <w:outlineLvl w:val="2"/>
    </w:pPr>
    <w:rPr>
      <w:rFonts w:ascii="Liberation Serif" w:hAnsi="Liberation Serif" w:eastAsia="Noto Serif CJK SC" w:cs="Lohit Devanagari"/>
      <w:b/>
      <w:bCs/>
      <w:color w:val="2F75B5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PreformattedText">
    <w:name w:val="Preformatted Text"/>
    <w:basedOn w:val="Normal"/>
    <w:qFormat/>
    <w:pPr>
      <w:pBdr>
        <w:left w:val="single" w:sz="24" w:space="8" w:color="2F75B5"/>
      </w:pBdr>
      <w:spacing w:before="0" w:after="0"/>
    </w:pPr>
    <w:rPr>
      <w:rFonts w:ascii="Consolas;monospace" w:hAnsi="Consolas;monospace" w:eastAsia="Consolas;monospace" w:cs="Consolas;monospace"/>
      <w:sz w:val="18"/>
      <w:szCs w:val="18"/>
    </w:rPr>
  </w:style>
  <w:style w:type="paragraph" w:styleId="BodyTextsubtitle">
    <w:name w:val="Body Text.subtitle"/>
    <w:basedOn w:val="BodyText"/>
    <w:qFormat/>
    <w:pPr/>
    <w:rPr>
      <w:color w:val="666666"/>
      <w:sz w:val="26"/>
      <w:szCs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688</Words>
  <Characters>4611</Characters>
  <CharactersWithSpaces>5198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