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Brain Tumor Detection Using Deep Learning and Transfer Learning Models</w:t>
      </w:r>
    </w:p>
    <w:p>
      <w:r>
        <w:t>Author: Prabhu Raj Singh</w:t>
      </w:r>
    </w:p>
    <w:p/>
    <w:p>
      <w:pPr>
        <w:pStyle w:val="Heading1"/>
      </w:pPr>
      <w:r>
        <w:t>1. Introduction</w:t>
      </w:r>
    </w:p>
    <w:p>
      <w:r>
        <w:t>Brain tumor detection is a critical task in medical imaging and healthcare, as early detection significantly improves treatment outcomes. Manual detection through MRI scans is time-consuming and prone to human error. To automate and improve accuracy, deep learning models—both custom CNNs and pre-trained architectures like ResNet18 and MobileNetV2—are explored for binary classification of MRI images: tumor vs. healthy.</w:t>
      </w:r>
    </w:p>
    <w:p>
      <w:pPr>
        <w:pStyle w:val="Heading1"/>
      </w:pPr>
      <w:r>
        <w:t>2. Dataset and Preprocessing</w:t>
      </w:r>
    </w:p>
    <w:p>
      <w:r>
        <w:t>The dataset contains labeled MRI images organized into two classes: 'Brain Tumor' and 'Healthy'. The dataset was split into training and validation sets using an 80/20 ratio. Data augmentations such as resizing, random flips, rotations, and normalization were applied.</w:t>
      </w:r>
    </w:p>
    <w:p>
      <w:pPr>
        <w:pStyle w:val="Heading1"/>
      </w:pPr>
      <w:r>
        <w:t>3. Model Architectures</w:t>
      </w:r>
    </w:p>
    <w:p>
      <w:r>
        <w:t>Three different models were implemented:</w:t>
        <w:br/>
        <w:t>- CNN_TUMOR: A custom convolutional neural network with four convolutional layers and two fully connected layers.</w:t>
        <w:br/>
        <w:t>- ResNet18: A pre-trained ResNet18 model with a modified classifier layer for binary output.</w:t>
        <w:br/>
        <w:t>- MobileNetV2: A lightweight pre-trained model optimized for mobile applications, with frozen feature layers and a custom classifier.</w:t>
      </w:r>
    </w:p>
    <w:p>
      <w:pPr>
        <w:pStyle w:val="Heading1"/>
      </w:pPr>
      <w:r>
        <w:t>4. Training Setup</w:t>
      </w:r>
    </w:p>
    <w:p>
      <w:r>
        <w:t>All models were trained using Adam optimizer, with a learning rate scheduler (`ReduceLROnPlateau`) to reduce learning rate on plateau. Cross-entropy loss in the form of negative log-likelihood (NLLLoss) was used.</w:t>
      </w:r>
    </w:p>
    <w:p>
      <w:pPr>
        <w:pStyle w:val="Heading1"/>
      </w:pPr>
      <w:r>
        <w:t>5. Performance Evaluation</w:t>
      </w:r>
    </w:p>
    <w:p>
      <w:r>
        <w:t>Below is the performance comparison across all models: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Model</w:t>
            </w:r>
          </w:p>
        </w:tc>
        <w:tc>
          <w:tcPr>
            <w:tcW w:type="dxa" w:w="1234"/>
          </w:tcPr>
          <w:p>
            <w:r>
              <w:t>Accuracy</w:t>
            </w:r>
          </w:p>
        </w:tc>
        <w:tc>
          <w:tcPr>
            <w:tcW w:type="dxa" w:w="1234"/>
          </w:tcPr>
          <w:p>
            <w:r>
              <w:t>F1-Score</w:t>
            </w:r>
          </w:p>
        </w:tc>
        <w:tc>
          <w:tcPr>
            <w:tcW w:type="dxa" w:w="1234"/>
          </w:tcPr>
          <w:p>
            <w:r>
              <w:t>Precision</w:t>
            </w:r>
          </w:p>
        </w:tc>
        <w:tc>
          <w:tcPr>
            <w:tcW w:type="dxa" w:w="1234"/>
          </w:tcPr>
          <w:p>
            <w:r>
              <w:t>Recall (Sensitivity)</w:t>
            </w:r>
          </w:p>
        </w:tc>
        <w:tc>
          <w:tcPr>
            <w:tcW w:type="dxa" w:w="1234"/>
          </w:tcPr>
          <w:p>
            <w:r>
              <w:t>AUC (ROC)</w:t>
            </w:r>
          </w:p>
        </w:tc>
        <w:tc>
          <w:tcPr>
            <w:tcW w:type="dxa" w:w="1234"/>
          </w:tcPr>
          <w:p>
            <w:r>
              <w:t>Average Precision (PR)</w:t>
            </w:r>
          </w:p>
        </w:tc>
      </w:tr>
      <w:tr>
        <w:tc>
          <w:tcPr>
            <w:tcW w:type="dxa" w:w="1234"/>
          </w:tcPr>
          <w:p>
            <w:r>
              <w:t>CNN</w:t>
            </w:r>
          </w:p>
        </w:tc>
        <w:tc>
          <w:tcPr>
            <w:tcW w:type="dxa" w:w="1234"/>
          </w:tcPr>
          <w:p>
            <w:r>
              <w:t>0.977</w:t>
            </w:r>
          </w:p>
        </w:tc>
        <w:tc>
          <w:tcPr>
            <w:tcW w:type="dxa" w:w="1234"/>
          </w:tcPr>
          <w:p>
            <w:r>
              <w:t>0.975</w:t>
            </w:r>
          </w:p>
        </w:tc>
        <w:tc>
          <w:tcPr>
            <w:tcW w:type="dxa" w:w="1234"/>
          </w:tcPr>
          <w:p>
            <w:r>
              <w:t>0.978</w:t>
            </w:r>
          </w:p>
        </w:tc>
        <w:tc>
          <w:tcPr>
            <w:tcW w:type="dxa" w:w="1234"/>
          </w:tcPr>
          <w:p>
            <w:r>
              <w:t>0.971</w:t>
            </w:r>
          </w:p>
        </w:tc>
        <w:tc>
          <w:tcPr>
            <w:tcW w:type="dxa" w:w="1234"/>
          </w:tcPr>
          <w:p>
            <w:r>
              <w:t>1.00†</w:t>
            </w:r>
          </w:p>
        </w:tc>
        <w:tc>
          <w:tcPr>
            <w:tcW w:type="dxa" w:w="1234"/>
          </w:tcPr>
          <w:p>
            <w:r>
              <w:t>1.00†</w:t>
            </w:r>
          </w:p>
        </w:tc>
      </w:tr>
      <w:tr>
        <w:tc>
          <w:tcPr>
            <w:tcW w:type="dxa" w:w="1234"/>
          </w:tcPr>
          <w:p>
            <w:r>
              <w:t>ResNet18</w:t>
            </w:r>
          </w:p>
        </w:tc>
        <w:tc>
          <w:tcPr>
            <w:tcW w:type="dxa" w:w="1234"/>
          </w:tcPr>
          <w:p>
            <w:r>
              <w:t>0.995</w:t>
            </w:r>
          </w:p>
        </w:tc>
        <w:tc>
          <w:tcPr>
            <w:tcW w:type="dxa" w:w="1234"/>
          </w:tcPr>
          <w:p>
            <w:r>
              <w:t>0.994</w:t>
            </w:r>
          </w:p>
        </w:tc>
        <w:tc>
          <w:tcPr>
            <w:tcW w:type="dxa" w:w="1234"/>
          </w:tcPr>
          <w:p>
            <w:r>
              <w:t>0.995</w:t>
            </w:r>
          </w:p>
        </w:tc>
        <w:tc>
          <w:tcPr>
            <w:tcW w:type="dxa" w:w="1234"/>
          </w:tcPr>
          <w:p>
            <w:r>
              <w:t>0.993</w:t>
            </w:r>
          </w:p>
        </w:tc>
        <w:tc>
          <w:tcPr>
            <w:tcW w:type="dxa" w:w="1234"/>
          </w:tcPr>
          <w:p>
            <w:r>
              <w:t>1.00†</w:t>
            </w:r>
          </w:p>
        </w:tc>
        <w:tc>
          <w:tcPr>
            <w:tcW w:type="dxa" w:w="1234"/>
          </w:tcPr>
          <w:p>
            <w:r>
              <w:t>–</w:t>
            </w:r>
          </w:p>
        </w:tc>
      </w:tr>
      <w:tr>
        <w:tc>
          <w:tcPr>
            <w:tcW w:type="dxa" w:w="1234"/>
          </w:tcPr>
          <w:p>
            <w:r>
              <w:t>MobileNetV2</w:t>
            </w:r>
          </w:p>
        </w:tc>
        <w:tc>
          <w:tcPr>
            <w:tcW w:type="dxa" w:w="1234"/>
          </w:tcPr>
          <w:p>
            <w:r>
              <w:t>0.978</w:t>
            </w:r>
          </w:p>
        </w:tc>
        <w:tc>
          <w:tcPr>
            <w:tcW w:type="dxa" w:w="1234"/>
          </w:tcPr>
          <w:p>
            <w:r>
              <w:t>0.976</w:t>
            </w:r>
          </w:p>
        </w:tc>
        <w:tc>
          <w:tcPr>
            <w:tcW w:type="dxa" w:w="1234"/>
          </w:tcPr>
          <w:p>
            <w:r>
              <w:t>0.978</w:t>
            </w:r>
          </w:p>
        </w:tc>
        <w:tc>
          <w:tcPr>
            <w:tcW w:type="dxa" w:w="1234"/>
          </w:tcPr>
          <w:p>
            <w:r>
              <w:t>0.974</w:t>
            </w:r>
          </w:p>
        </w:tc>
        <w:tc>
          <w:tcPr>
            <w:tcW w:type="dxa" w:w="1234"/>
          </w:tcPr>
          <w:p>
            <w:r>
              <w:t>1.00†</w:t>
            </w:r>
          </w:p>
        </w:tc>
        <w:tc>
          <w:tcPr>
            <w:tcW w:type="dxa" w:w="1234"/>
          </w:tcPr>
          <w:p>
            <w:r>
              <w:t>1.00†</w:t>
            </w:r>
          </w:p>
        </w:tc>
      </w:tr>
    </w:tbl>
    <w:p>
      <w:r>
        <w:rPr>
          <w:i/>
          <w:sz w:val="18"/>
        </w:rPr>
        <w:t xml:space="preserve">Values computed from the validation-set confusion matrices in notebooks/BT_project.ipynb (n = 921: 503 Brain Tumor, 418 Healthy; positive class = Healthy). † Rounded value read from the notebook’s ROC and precision–recall plots. – Not computed for this model.</w:t>
      </w:r>
    </w:p>
    <w:p>
      <w:pPr>
        <w:pStyle w:val="Heading1"/>
      </w:pPr>
      <w:r>
        <w:t>6. Visualization</w:t>
      </w:r>
    </w:p>
    <w:p>
      <w:r>
        <w:t>Training curves, confusion matrices and Grad-CAM visualizations, used to analyze model behavior and decision-making, are available in the assets/ folder of the GitHub repository and in notebooks/BT_project.ipynb.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