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EF6A8" w14:textId="77777777" w:rsidR="00E32B4A" w:rsidRDefault="00E32B4A">
      <w:pPr>
        <w:rPr>
          <w:noProof/>
        </w:rPr>
      </w:pPr>
    </w:p>
    <w:p w14:paraId="53896492" w14:textId="77777777" w:rsidR="00E32B4A" w:rsidRDefault="00E32B4A"/>
    <w:p w14:paraId="532BA6FA" w14:textId="77777777" w:rsidR="00777B12" w:rsidRDefault="00777B12" w:rsidP="00777B12">
      <w:r>
        <w:rPr>
          <w:noProof/>
        </w:rPr>
        <w:drawing>
          <wp:inline distT="0" distB="0" distL="0" distR="0" wp14:anchorId="665BF8F5" wp14:editId="716AB3EE">
            <wp:extent cx="1828800" cy="377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tandard2.png"/>
                    <pic:cNvPicPr/>
                  </pic:nvPicPr>
                  <pic:blipFill>
                    <a:blip r:embed="rId8"/>
                    <a:stretch>
                      <a:fillRect/>
                    </a:stretch>
                  </pic:blipFill>
                  <pic:spPr>
                    <a:xfrm>
                      <a:off x="0" y="0"/>
                      <a:ext cx="1828800" cy="377952"/>
                    </a:xfrm>
                    <a:prstGeom prst="rect">
                      <a:avLst/>
                    </a:prstGeom>
                  </pic:spPr>
                </pic:pic>
              </a:graphicData>
            </a:graphic>
          </wp:inline>
        </w:drawing>
      </w:r>
    </w:p>
    <w:p w14:paraId="4CB19D16" w14:textId="54DB2397" w:rsidR="00777B12" w:rsidRDefault="00777B12" w:rsidP="00777B12">
      <w:pPr>
        <w:pStyle w:val="Heading1"/>
      </w:pPr>
      <w:r>
        <w:t>A Practical Guide to India’s Digital Personal Data Protection (DPDP) Act</w:t>
      </w:r>
    </w:p>
    <w:p w14:paraId="54E42DC8" w14:textId="77777777" w:rsidR="00777B12" w:rsidRDefault="00777B12" w:rsidP="00777B12">
      <w:pPr>
        <w:jc w:val="both"/>
      </w:pPr>
    </w:p>
    <w:p w14:paraId="50BD34DC" w14:textId="77777777" w:rsidR="00777B12" w:rsidRPr="00D50468" w:rsidRDefault="00777B12" w:rsidP="00777B12">
      <w:pPr>
        <w:jc w:val="both"/>
        <w:rPr>
          <w:b/>
          <w:bCs/>
        </w:rPr>
      </w:pPr>
      <w:r w:rsidRPr="00D50468">
        <w:rPr>
          <w:b/>
          <w:bCs/>
        </w:rPr>
        <w:t>A Practical Guide to India’s Digital Personal Data Protection (DPDP) Act — What It Means for Your Organization &amp; How to Prepare</w:t>
      </w:r>
    </w:p>
    <w:p w14:paraId="05A1C8A6" w14:textId="77777777" w:rsidR="00777B12" w:rsidRDefault="00777B12" w:rsidP="00777B12">
      <w:pPr>
        <w:jc w:val="both"/>
      </w:pPr>
      <w:r>
        <w:t>As India accelerates its digital economy, the protection of personal data has become a national priority. With the introduction of the Digital Personal Data Protection (DPDP) Act, organizations now have a clear regulatory framework governing how personal data must be collected, processed, secured, and stored.</w:t>
      </w:r>
    </w:p>
    <w:p w14:paraId="2A9B2AEC" w14:textId="77777777" w:rsidR="00777B12" w:rsidRDefault="00777B12" w:rsidP="00777B12">
      <w:pPr>
        <w:jc w:val="both"/>
      </w:pPr>
      <w:r>
        <w:t>At ITOrigin, we work closely with enterprises handling sensitive data across banking, fintech, insurance, government, and critical infrastructure sectors. This blog provides a structured, easy-to-understand roadmap for business and technology leaders looking to prepare for DPDP compliance.</w:t>
      </w:r>
    </w:p>
    <w:p w14:paraId="1DCA766E" w14:textId="77777777" w:rsidR="00777B12" w:rsidRPr="00D50468" w:rsidRDefault="00777B12" w:rsidP="00777B12">
      <w:pPr>
        <w:pStyle w:val="Heading2"/>
      </w:pPr>
      <w:r w:rsidRPr="00D50468">
        <w:t>1. Understanding the DPDP Act: Why It Matters</w:t>
      </w:r>
    </w:p>
    <w:p w14:paraId="53571781" w14:textId="77777777" w:rsidR="00777B12" w:rsidRDefault="00777B12" w:rsidP="00777B12">
      <w:pPr>
        <w:jc w:val="both"/>
      </w:pPr>
    </w:p>
    <w:p w14:paraId="7B2E1381" w14:textId="0F5F3A95" w:rsidR="00777B12" w:rsidRDefault="00777B12" w:rsidP="00777B12">
      <w:pPr>
        <w:jc w:val="both"/>
      </w:pPr>
      <w:r>
        <w:t>The DPDP Act is India's most significant privacy legislation to date. It establishes a rights-based framework where:</w:t>
      </w:r>
    </w:p>
    <w:p w14:paraId="31AF28E3" w14:textId="77777777" w:rsidR="00777B12" w:rsidRDefault="00777B12" w:rsidP="00777B12">
      <w:pPr>
        <w:ind w:firstLine="720"/>
        <w:jc w:val="both"/>
      </w:pPr>
      <w:r>
        <w:t>• Individuals (Data Principals) have clear rights over their personal data.</w:t>
      </w:r>
    </w:p>
    <w:p w14:paraId="27C04B08" w14:textId="77777777" w:rsidR="00777B12" w:rsidRDefault="00777B12" w:rsidP="00777B12">
      <w:pPr>
        <w:ind w:left="720"/>
        <w:jc w:val="both"/>
      </w:pPr>
      <w:r>
        <w:t>• Organizations (Data Fiduciaries and Data Processors) are accountable for safeguarding that data.</w:t>
      </w:r>
    </w:p>
    <w:p w14:paraId="170B3F16" w14:textId="77777777" w:rsidR="00777B12" w:rsidRDefault="00777B12" w:rsidP="00777B12">
      <w:pPr>
        <w:ind w:firstLine="720"/>
        <w:jc w:val="both"/>
      </w:pPr>
      <w:r>
        <w:t>• The state promotes responsible innovation without compromising privacy.</w:t>
      </w:r>
    </w:p>
    <w:p w14:paraId="257FE5EB" w14:textId="77777777" w:rsidR="00777B12" w:rsidRDefault="00777B12" w:rsidP="00777B12">
      <w:pPr>
        <w:jc w:val="both"/>
      </w:pPr>
      <w:r>
        <w:t>The Act aligns India with global standards such as GDPR, UAE DPL, and other modern data protection laws—making compliance essential for both domestic and global market credibility.</w:t>
      </w:r>
    </w:p>
    <w:p w14:paraId="36A42151" w14:textId="77777777" w:rsidR="00777B12" w:rsidRPr="00D50468" w:rsidRDefault="00777B12" w:rsidP="00777B12">
      <w:pPr>
        <w:pStyle w:val="Heading2"/>
      </w:pPr>
      <w:r w:rsidRPr="00D50468">
        <w:t>2. Key Timelines &amp; Enforcement Milestones</w:t>
      </w:r>
    </w:p>
    <w:p w14:paraId="251081A3" w14:textId="77777777" w:rsidR="00777B12" w:rsidRDefault="00777B12" w:rsidP="00777B12">
      <w:pPr>
        <w:jc w:val="both"/>
      </w:pPr>
    </w:p>
    <w:p w14:paraId="519EFC10" w14:textId="4F2DA49A" w:rsidR="00777B12" w:rsidRDefault="00777B12" w:rsidP="00777B12">
      <w:pPr>
        <w:jc w:val="both"/>
      </w:pPr>
      <w:r>
        <w:t>The Act was passed and received Presidential assent in August 2023, with operationalization expected in phased notifications between 2024–2025.</w:t>
      </w:r>
    </w:p>
    <w:p w14:paraId="5B38D145" w14:textId="77777777" w:rsidR="00777B12" w:rsidRDefault="00777B12" w:rsidP="00777B12">
      <w:pPr>
        <w:jc w:val="both"/>
      </w:pPr>
      <w:r>
        <w:t>A realistic timeline for organizations:</w:t>
      </w:r>
    </w:p>
    <w:p w14:paraId="2DC12DA4" w14:textId="77777777" w:rsidR="00777B12" w:rsidRDefault="00777B12" w:rsidP="00777B12">
      <w:pPr>
        <w:ind w:left="720"/>
        <w:jc w:val="both"/>
      </w:pPr>
      <w:r>
        <w:t>• 2024: Release of detailed rules; early compliance steps begin</w:t>
      </w:r>
    </w:p>
    <w:p w14:paraId="6700C3CB" w14:textId="77777777" w:rsidR="00777B12" w:rsidRDefault="00777B12" w:rsidP="00777B12">
      <w:pPr>
        <w:ind w:left="720"/>
        <w:jc w:val="both"/>
      </w:pPr>
      <w:r>
        <w:t>• 2024–2025: Government may announce sector-wise or volume-based enforcement</w:t>
      </w:r>
    </w:p>
    <w:p w14:paraId="23642D12" w14:textId="77777777" w:rsidR="00777B12" w:rsidRDefault="00777B12" w:rsidP="00777B12">
      <w:pPr>
        <w:ind w:left="720"/>
        <w:jc w:val="both"/>
      </w:pPr>
      <w:r>
        <w:lastRenderedPageBreak/>
        <w:t>• 6–12 months after final rules: Expected full compliance deadline</w:t>
      </w:r>
    </w:p>
    <w:p w14:paraId="5521DBB6" w14:textId="77777777" w:rsidR="00777B12" w:rsidRDefault="00777B12" w:rsidP="00777B12">
      <w:pPr>
        <w:jc w:val="both"/>
      </w:pPr>
      <w:r>
        <w:t xml:space="preserve">It is important for organizations to start preparing </w:t>
      </w:r>
      <w:proofErr w:type="gramStart"/>
      <w:r>
        <w:t>now—waiting</w:t>
      </w:r>
      <w:proofErr w:type="gramEnd"/>
      <w:r>
        <w:t xml:space="preserve"> for enforcement may compress timelines significantly.</w:t>
      </w:r>
    </w:p>
    <w:p w14:paraId="0EF6BC99" w14:textId="77777777" w:rsidR="00777B12" w:rsidRPr="00D50468" w:rsidRDefault="00777B12" w:rsidP="00777B12">
      <w:pPr>
        <w:pStyle w:val="Heading2"/>
      </w:pPr>
      <w:r w:rsidRPr="00D50468">
        <w:t>3. Applicability — Does the DPDP Act Apply to You?</w:t>
      </w:r>
    </w:p>
    <w:p w14:paraId="24E10F25" w14:textId="77777777" w:rsidR="00777B12" w:rsidRDefault="00777B12" w:rsidP="00777B12">
      <w:pPr>
        <w:jc w:val="both"/>
      </w:pPr>
    </w:p>
    <w:p w14:paraId="2AADE724" w14:textId="0F78B5BF" w:rsidR="00777B12" w:rsidRDefault="00777B12" w:rsidP="00777B12">
      <w:pPr>
        <w:jc w:val="both"/>
      </w:pPr>
      <w:r>
        <w:t>In most cases, yes.</w:t>
      </w:r>
    </w:p>
    <w:p w14:paraId="6C891456" w14:textId="77777777" w:rsidR="00777B12" w:rsidRDefault="00777B12" w:rsidP="00777B12">
      <w:pPr>
        <w:jc w:val="both"/>
      </w:pPr>
      <w:r>
        <w:t>The DPDP Act applies to:</w:t>
      </w:r>
    </w:p>
    <w:p w14:paraId="61DE1349" w14:textId="77777777" w:rsidR="00777B12" w:rsidRDefault="00777B12" w:rsidP="00777B12">
      <w:pPr>
        <w:jc w:val="both"/>
      </w:pPr>
      <w:r>
        <w:t>✔ All organizations in India processing personal data digitally</w:t>
      </w:r>
    </w:p>
    <w:p w14:paraId="1F96D507" w14:textId="77777777" w:rsidR="00777B12" w:rsidRDefault="00777B12" w:rsidP="00777B12">
      <w:pPr>
        <w:jc w:val="both"/>
      </w:pPr>
      <w:r>
        <w:t>This includes financial institutions, insurers, hospitals, e-commerce, SaaS platforms, telecom, retail, and more.</w:t>
      </w:r>
    </w:p>
    <w:p w14:paraId="78772A88" w14:textId="77777777" w:rsidR="00777B12" w:rsidRDefault="00777B12" w:rsidP="00777B12">
      <w:pPr>
        <w:jc w:val="both"/>
      </w:pPr>
      <w:r>
        <w:t>✔ Foreign organizations processing data of individuals located in India</w:t>
      </w:r>
    </w:p>
    <w:p w14:paraId="0EA79E11" w14:textId="77777777" w:rsidR="00777B12" w:rsidRDefault="00777B12" w:rsidP="00777B12">
      <w:pPr>
        <w:jc w:val="both"/>
      </w:pPr>
      <w:r>
        <w:t>For example, a UAE or Singapore-based service provider offering digital products to Indian users.</w:t>
      </w:r>
    </w:p>
    <w:p w14:paraId="4F67B2FD" w14:textId="77777777" w:rsidR="00777B12" w:rsidRDefault="00777B12" w:rsidP="00777B12">
      <w:pPr>
        <w:jc w:val="both"/>
      </w:pPr>
      <w:r>
        <w:t>✔ Two Categories of Entities</w:t>
      </w:r>
    </w:p>
    <w:p w14:paraId="584A7252" w14:textId="77777777" w:rsidR="00777B12" w:rsidRDefault="00777B12" w:rsidP="00777B12">
      <w:pPr>
        <w:ind w:left="720"/>
        <w:jc w:val="both"/>
      </w:pPr>
      <w:r>
        <w:t>• Data Fiduciaries – who decide why and how data is processed</w:t>
      </w:r>
    </w:p>
    <w:p w14:paraId="3B108889" w14:textId="77777777" w:rsidR="00777B12" w:rsidRDefault="00777B12" w:rsidP="00777B12">
      <w:pPr>
        <w:ind w:left="720"/>
        <w:jc w:val="both"/>
      </w:pPr>
      <w:r>
        <w:t>• Data Processors – who process data on behalf of a fiduciary</w:t>
      </w:r>
    </w:p>
    <w:p w14:paraId="0452B3F5" w14:textId="77777777" w:rsidR="00777B12" w:rsidRDefault="00777B12" w:rsidP="00777B12">
      <w:pPr>
        <w:jc w:val="both"/>
      </w:pPr>
      <w:r>
        <w:t>✔ Significant Data Fiduciaries (SDFs)</w:t>
      </w:r>
    </w:p>
    <w:p w14:paraId="73CE7CB7" w14:textId="77777777" w:rsidR="00777B12" w:rsidRDefault="00777B12" w:rsidP="00777B12">
      <w:pPr>
        <w:jc w:val="both"/>
      </w:pPr>
      <w:r>
        <w:t>The government may classify entities as SDFs based on:</w:t>
      </w:r>
    </w:p>
    <w:p w14:paraId="539379F5" w14:textId="77777777" w:rsidR="00777B12" w:rsidRDefault="00777B12" w:rsidP="00777B12">
      <w:pPr>
        <w:ind w:left="720"/>
        <w:jc w:val="both"/>
      </w:pPr>
      <w:r>
        <w:t>• Data volume</w:t>
      </w:r>
    </w:p>
    <w:p w14:paraId="5BBA810C" w14:textId="77777777" w:rsidR="00777B12" w:rsidRDefault="00777B12" w:rsidP="00777B12">
      <w:pPr>
        <w:ind w:left="720"/>
        <w:jc w:val="both"/>
      </w:pPr>
      <w:r>
        <w:t>• Use of AI and profiling</w:t>
      </w:r>
    </w:p>
    <w:p w14:paraId="1CF5896B" w14:textId="77777777" w:rsidR="00777B12" w:rsidRDefault="00777B12" w:rsidP="00777B12">
      <w:pPr>
        <w:ind w:left="720"/>
        <w:jc w:val="both"/>
      </w:pPr>
      <w:r>
        <w:t>• Impact on national interests</w:t>
      </w:r>
    </w:p>
    <w:p w14:paraId="12A5A278" w14:textId="77777777" w:rsidR="00777B12" w:rsidRDefault="00777B12" w:rsidP="00777B12">
      <w:pPr>
        <w:ind w:left="720"/>
        <w:jc w:val="both"/>
      </w:pPr>
      <w:r>
        <w:t>• Risk to individuals</w:t>
      </w:r>
    </w:p>
    <w:p w14:paraId="77568BD7" w14:textId="77777777" w:rsidR="00777B12" w:rsidRDefault="00777B12" w:rsidP="00777B12">
      <w:pPr>
        <w:jc w:val="both"/>
      </w:pPr>
      <w:r>
        <w:t>SDFs will face stricter controls, including independent audits and mandatory Data Protection Officers.</w:t>
      </w:r>
    </w:p>
    <w:p w14:paraId="4E3FA46D" w14:textId="77777777" w:rsidR="00777B12" w:rsidRPr="00D50468" w:rsidRDefault="00777B12" w:rsidP="00777B12">
      <w:pPr>
        <w:pStyle w:val="Heading2"/>
      </w:pPr>
      <w:r w:rsidRPr="00D50468">
        <w:t>4. What DPDP Compliance Means for Organizations</w:t>
      </w:r>
    </w:p>
    <w:p w14:paraId="174D49F7" w14:textId="77777777" w:rsidR="00777B12" w:rsidRDefault="00777B12" w:rsidP="00777B12">
      <w:pPr>
        <w:jc w:val="both"/>
      </w:pPr>
    </w:p>
    <w:p w14:paraId="7A93C408" w14:textId="54F6B367" w:rsidR="00777B12" w:rsidRDefault="00777B12" w:rsidP="00777B12">
      <w:pPr>
        <w:jc w:val="both"/>
      </w:pPr>
      <w:r>
        <w:t>Here are the key obligations organizations must align with:</w:t>
      </w:r>
    </w:p>
    <w:p w14:paraId="11D47054" w14:textId="77777777" w:rsidR="00777B12" w:rsidRDefault="00777B12" w:rsidP="00777B12">
      <w:pPr>
        <w:jc w:val="both"/>
      </w:pPr>
      <w:r>
        <w:t>1. Lawful Use &amp; Purpose Limitation</w:t>
      </w:r>
    </w:p>
    <w:p w14:paraId="1DE5FF17" w14:textId="77777777" w:rsidR="00777B12" w:rsidRDefault="00777B12" w:rsidP="00777B12">
      <w:pPr>
        <w:jc w:val="both"/>
      </w:pPr>
      <w:r>
        <w:t>Process only what is required—and only with a valid purpose.</w:t>
      </w:r>
    </w:p>
    <w:p w14:paraId="1B77CE27" w14:textId="77777777" w:rsidR="00777B12" w:rsidRDefault="00777B12" w:rsidP="00777B12">
      <w:pPr>
        <w:jc w:val="both"/>
      </w:pPr>
      <w:r>
        <w:t>2. Transparent Notices &amp; Consent</w:t>
      </w:r>
    </w:p>
    <w:p w14:paraId="5E2C7BDE" w14:textId="77777777" w:rsidR="00777B12" w:rsidRDefault="00777B12" w:rsidP="00777B12">
      <w:pPr>
        <w:jc w:val="both"/>
      </w:pPr>
      <w:r>
        <w:t>Individuals must receive clear, accessible notices and must be able to withdraw consent easily.</w:t>
      </w:r>
    </w:p>
    <w:p w14:paraId="6B98DB59" w14:textId="77777777" w:rsidR="00777B12" w:rsidRDefault="00777B12" w:rsidP="00777B12">
      <w:pPr>
        <w:jc w:val="both"/>
      </w:pPr>
      <w:r>
        <w:lastRenderedPageBreak/>
        <w:t>3. Strong Data Security Controls</w:t>
      </w:r>
    </w:p>
    <w:p w14:paraId="6223CE28" w14:textId="77777777" w:rsidR="00777B12" w:rsidRDefault="00777B12" w:rsidP="00777B12">
      <w:pPr>
        <w:jc w:val="both"/>
      </w:pPr>
      <w:r>
        <w:t>Organizations must implement:</w:t>
      </w:r>
    </w:p>
    <w:p w14:paraId="12A8B2DE" w14:textId="77777777" w:rsidR="00777B12" w:rsidRDefault="00777B12" w:rsidP="00777B12">
      <w:pPr>
        <w:ind w:left="720"/>
        <w:jc w:val="both"/>
      </w:pPr>
      <w:r>
        <w:t>• Encryption</w:t>
      </w:r>
    </w:p>
    <w:p w14:paraId="6CE2BC6C" w14:textId="77777777" w:rsidR="00777B12" w:rsidRDefault="00777B12" w:rsidP="00777B12">
      <w:pPr>
        <w:ind w:left="720"/>
        <w:jc w:val="both"/>
      </w:pPr>
      <w:r>
        <w:t>• Access controls</w:t>
      </w:r>
    </w:p>
    <w:p w14:paraId="516369E7" w14:textId="77777777" w:rsidR="00777B12" w:rsidRDefault="00777B12" w:rsidP="00777B12">
      <w:pPr>
        <w:ind w:left="720"/>
        <w:jc w:val="both"/>
      </w:pPr>
      <w:r>
        <w:t>• Logging &amp; monitoring</w:t>
      </w:r>
    </w:p>
    <w:p w14:paraId="6DE2A7B2" w14:textId="77777777" w:rsidR="00777B12" w:rsidRDefault="00777B12" w:rsidP="00777B12">
      <w:pPr>
        <w:ind w:left="720"/>
        <w:jc w:val="both"/>
      </w:pPr>
      <w:r>
        <w:t>• Secure development practices</w:t>
      </w:r>
    </w:p>
    <w:p w14:paraId="2B483D45" w14:textId="77777777" w:rsidR="00777B12" w:rsidRDefault="00777B12" w:rsidP="00777B12">
      <w:pPr>
        <w:ind w:left="720"/>
        <w:jc w:val="both"/>
      </w:pPr>
      <w:r>
        <w:t>• Incident response mechanisms</w:t>
      </w:r>
    </w:p>
    <w:p w14:paraId="0D633F3C" w14:textId="77777777" w:rsidR="00777B12" w:rsidRPr="00D50468" w:rsidRDefault="00777B12" w:rsidP="00777B12">
      <w:pPr>
        <w:pStyle w:val="Heading2"/>
      </w:pPr>
      <w:r w:rsidRPr="00D50468">
        <w:t>4</w:t>
      </w:r>
      <w:r w:rsidRPr="00777B12">
        <w:t>. Rights of Individuals</w:t>
      </w:r>
    </w:p>
    <w:p w14:paraId="04CD1419" w14:textId="77777777" w:rsidR="00777B12" w:rsidRDefault="00777B12" w:rsidP="00777B12">
      <w:pPr>
        <w:jc w:val="both"/>
      </w:pPr>
    </w:p>
    <w:p w14:paraId="337D98FF" w14:textId="638873BD" w:rsidR="00777B12" w:rsidRDefault="00777B12" w:rsidP="00777B12">
      <w:pPr>
        <w:jc w:val="both"/>
      </w:pPr>
      <w:r>
        <w:t>Individuals can:</w:t>
      </w:r>
    </w:p>
    <w:p w14:paraId="74632AF3" w14:textId="77777777" w:rsidR="00777B12" w:rsidRDefault="00777B12" w:rsidP="00777B12">
      <w:pPr>
        <w:ind w:left="720"/>
        <w:jc w:val="both"/>
      </w:pPr>
      <w:r>
        <w:t>• Access their personal data</w:t>
      </w:r>
    </w:p>
    <w:p w14:paraId="1B73B4F3" w14:textId="77777777" w:rsidR="00777B12" w:rsidRDefault="00777B12" w:rsidP="00777B12">
      <w:pPr>
        <w:ind w:left="720"/>
        <w:jc w:val="both"/>
      </w:pPr>
      <w:r>
        <w:t>• Request corrections or deletion</w:t>
      </w:r>
    </w:p>
    <w:p w14:paraId="40F18DBE" w14:textId="77777777" w:rsidR="00777B12" w:rsidRDefault="00777B12" w:rsidP="00777B12">
      <w:pPr>
        <w:ind w:left="720"/>
        <w:jc w:val="both"/>
      </w:pPr>
      <w:r>
        <w:t>• File grievances</w:t>
      </w:r>
    </w:p>
    <w:p w14:paraId="0DD78619" w14:textId="77777777" w:rsidR="00777B12" w:rsidRDefault="00777B12" w:rsidP="00777B12">
      <w:pPr>
        <w:ind w:left="720"/>
        <w:jc w:val="both"/>
      </w:pPr>
      <w:r>
        <w:t>• Withdraw consent at any time</w:t>
      </w:r>
    </w:p>
    <w:p w14:paraId="204018EB" w14:textId="77777777" w:rsidR="00777B12" w:rsidRPr="00D50468" w:rsidRDefault="00777B12" w:rsidP="00777B12">
      <w:pPr>
        <w:pStyle w:val="Heading2"/>
      </w:pPr>
      <w:r w:rsidRPr="00D50468">
        <w:t>5. Accountability for Processors</w:t>
      </w:r>
    </w:p>
    <w:p w14:paraId="5608ACD0" w14:textId="77777777" w:rsidR="00777B12" w:rsidRDefault="00777B12" w:rsidP="00777B12">
      <w:pPr>
        <w:jc w:val="both"/>
      </w:pPr>
      <w:r>
        <w:t>Fiduciaries are responsible for ensuring processors follow the law—via contracts, audits, and controls.</w:t>
      </w:r>
    </w:p>
    <w:p w14:paraId="25DA7F4E" w14:textId="77777777" w:rsidR="00777B12" w:rsidRPr="00D50468" w:rsidRDefault="00777B12" w:rsidP="00777B12">
      <w:pPr>
        <w:pStyle w:val="Heading2"/>
      </w:pPr>
      <w:r w:rsidRPr="00D50468">
        <w:t>6. Mandatory Breach Reporting</w:t>
      </w:r>
    </w:p>
    <w:p w14:paraId="70C6E446" w14:textId="77777777" w:rsidR="00777B12" w:rsidRDefault="00777B12" w:rsidP="00777B12">
      <w:pPr>
        <w:jc w:val="both"/>
      </w:pPr>
    </w:p>
    <w:p w14:paraId="4A52A1B6" w14:textId="15BF8E68" w:rsidR="00777B12" w:rsidRDefault="00777B12" w:rsidP="00777B12">
      <w:pPr>
        <w:jc w:val="both"/>
      </w:pPr>
      <w:r>
        <w:t>Every significant breach must be reported to the Data Protection Board and affected users.</w:t>
      </w:r>
    </w:p>
    <w:p w14:paraId="5F129CCE" w14:textId="77777777" w:rsidR="00777B12" w:rsidRPr="00D50468" w:rsidRDefault="00777B12" w:rsidP="00777B12">
      <w:pPr>
        <w:pStyle w:val="Heading2"/>
      </w:pPr>
      <w:r w:rsidRPr="00D50468">
        <w:t>7. Penalties</w:t>
      </w:r>
    </w:p>
    <w:p w14:paraId="332FE27D" w14:textId="77777777" w:rsidR="00777B12" w:rsidRDefault="00777B12" w:rsidP="00777B12">
      <w:pPr>
        <w:jc w:val="both"/>
      </w:pPr>
    </w:p>
    <w:p w14:paraId="681674EF" w14:textId="2AAC6874" w:rsidR="00777B12" w:rsidRDefault="00777B12" w:rsidP="00777B12">
      <w:pPr>
        <w:jc w:val="both"/>
      </w:pPr>
      <w:r>
        <w:t>Violations can attract penalties of up to ₹250 crore, depending on the severity.</w:t>
      </w:r>
    </w:p>
    <w:p w14:paraId="4090D675" w14:textId="77777777" w:rsidR="00777B12" w:rsidRPr="00D50468" w:rsidRDefault="00777B12" w:rsidP="00777B12">
      <w:pPr>
        <w:pStyle w:val="Heading2"/>
      </w:pPr>
      <w:r w:rsidRPr="00D50468">
        <w:t>5. How Organizations Can Prepare — A Practical Implementation Strategy</w:t>
      </w:r>
    </w:p>
    <w:p w14:paraId="2B7A7E4A" w14:textId="77777777" w:rsidR="00777B12" w:rsidRDefault="00777B12" w:rsidP="00777B12">
      <w:pPr>
        <w:jc w:val="both"/>
        <w:rPr>
          <w:b/>
          <w:bCs/>
        </w:rPr>
      </w:pPr>
    </w:p>
    <w:p w14:paraId="0F8013FC" w14:textId="7720416A" w:rsidR="00777B12" w:rsidRPr="00777B12" w:rsidRDefault="00777B12" w:rsidP="00777B12">
      <w:pPr>
        <w:pStyle w:val="Heading3"/>
      </w:pPr>
      <w:r w:rsidRPr="00777B12">
        <w:t>Phase 1: Establish Governance &amp; Accountability</w:t>
      </w:r>
    </w:p>
    <w:p w14:paraId="3F8B56FB" w14:textId="77777777" w:rsidR="00777B12" w:rsidRDefault="00777B12" w:rsidP="00777B12">
      <w:pPr>
        <w:ind w:left="720"/>
        <w:jc w:val="both"/>
      </w:pPr>
      <w:r>
        <w:t>• Appoint a Data Protection Lead or DPO</w:t>
      </w:r>
    </w:p>
    <w:p w14:paraId="5F94AA02" w14:textId="77777777" w:rsidR="00777B12" w:rsidRDefault="00777B12" w:rsidP="00777B12">
      <w:pPr>
        <w:ind w:left="720"/>
        <w:jc w:val="both"/>
      </w:pPr>
      <w:r>
        <w:t>• Define roles &amp; responsibilities</w:t>
      </w:r>
    </w:p>
    <w:p w14:paraId="654AEBDC" w14:textId="77777777" w:rsidR="00777B12" w:rsidRDefault="00777B12" w:rsidP="00777B12">
      <w:pPr>
        <w:ind w:left="720"/>
        <w:jc w:val="both"/>
      </w:pPr>
      <w:r>
        <w:t>• Create policies on privacy, consent, retention, and breach response</w:t>
      </w:r>
    </w:p>
    <w:p w14:paraId="06474EA9" w14:textId="77777777" w:rsidR="00777B12" w:rsidRPr="00D50468" w:rsidRDefault="00777B12" w:rsidP="00777B12">
      <w:pPr>
        <w:pStyle w:val="Heading3"/>
      </w:pPr>
      <w:r w:rsidRPr="00D50468">
        <w:t>Phase 2: Conduct Data Mapping &amp; Discovery</w:t>
      </w:r>
    </w:p>
    <w:p w14:paraId="78A166E8" w14:textId="77777777" w:rsidR="00777B12" w:rsidRDefault="00777B12" w:rsidP="00777B12">
      <w:pPr>
        <w:ind w:left="720"/>
        <w:jc w:val="both"/>
      </w:pPr>
      <w:r>
        <w:t>• Identify all personal data across applications, databases, cloud, logs, and backups</w:t>
      </w:r>
    </w:p>
    <w:p w14:paraId="62F5D75A" w14:textId="77777777" w:rsidR="00777B12" w:rsidRDefault="00777B12" w:rsidP="00777B12">
      <w:pPr>
        <w:ind w:left="720"/>
        <w:jc w:val="both"/>
      </w:pPr>
      <w:r>
        <w:lastRenderedPageBreak/>
        <w:t>• Map data flows across business processes</w:t>
      </w:r>
    </w:p>
    <w:p w14:paraId="0C538851" w14:textId="77777777" w:rsidR="00777B12" w:rsidRDefault="00777B12" w:rsidP="00777B12">
      <w:pPr>
        <w:ind w:left="720"/>
        <w:jc w:val="both"/>
      </w:pPr>
      <w:r>
        <w:t>• Classify data based on sensitivity</w:t>
      </w:r>
    </w:p>
    <w:p w14:paraId="7BA13F1F" w14:textId="77777777" w:rsidR="00777B12" w:rsidRDefault="00777B12" w:rsidP="00777B12">
      <w:pPr>
        <w:jc w:val="both"/>
      </w:pPr>
      <w:r>
        <w:t>This forms the foundation for all compliance efforts.</w:t>
      </w:r>
    </w:p>
    <w:p w14:paraId="73FF9533" w14:textId="77777777" w:rsidR="00777B12" w:rsidRPr="00D50468" w:rsidRDefault="00777B12" w:rsidP="00777B12">
      <w:pPr>
        <w:pStyle w:val="Heading3"/>
      </w:pPr>
      <w:r w:rsidRPr="00D50468">
        <w:t>Phase 3: Perform a DPDP Gap Assessment</w:t>
      </w:r>
    </w:p>
    <w:p w14:paraId="67554E4F" w14:textId="77777777" w:rsidR="00777B12" w:rsidRDefault="00777B12" w:rsidP="00777B12">
      <w:pPr>
        <w:jc w:val="both"/>
      </w:pPr>
    </w:p>
    <w:p w14:paraId="2F0BB8FE" w14:textId="15292AA2" w:rsidR="00777B12" w:rsidRDefault="00777B12" w:rsidP="00777B12">
      <w:pPr>
        <w:jc w:val="both"/>
      </w:pPr>
      <w:r>
        <w:t>Review existing controls against DPDP requirements:</w:t>
      </w:r>
    </w:p>
    <w:p w14:paraId="6FC4BEAA" w14:textId="77777777" w:rsidR="00777B12" w:rsidRDefault="00777B12" w:rsidP="00777B12">
      <w:pPr>
        <w:ind w:left="720"/>
        <w:jc w:val="both"/>
      </w:pPr>
      <w:r>
        <w:t>• Notice &amp; consent mechanisms</w:t>
      </w:r>
    </w:p>
    <w:p w14:paraId="69D36A27" w14:textId="77777777" w:rsidR="00777B12" w:rsidRDefault="00777B12" w:rsidP="00777B12">
      <w:pPr>
        <w:ind w:left="720"/>
        <w:jc w:val="both"/>
      </w:pPr>
      <w:r>
        <w:t>• Access management</w:t>
      </w:r>
    </w:p>
    <w:p w14:paraId="6E9C57AC" w14:textId="77777777" w:rsidR="00777B12" w:rsidRDefault="00777B12" w:rsidP="00777B12">
      <w:pPr>
        <w:ind w:left="720"/>
        <w:jc w:val="both"/>
      </w:pPr>
      <w:r>
        <w:t>• Vendor data sharing</w:t>
      </w:r>
    </w:p>
    <w:p w14:paraId="7EDC44D6" w14:textId="77777777" w:rsidR="00777B12" w:rsidRDefault="00777B12" w:rsidP="00777B12">
      <w:pPr>
        <w:ind w:left="720"/>
        <w:jc w:val="both"/>
      </w:pPr>
      <w:r>
        <w:t>• Security controls</w:t>
      </w:r>
    </w:p>
    <w:p w14:paraId="6349C08C" w14:textId="77777777" w:rsidR="00777B12" w:rsidRDefault="00777B12" w:rsidP="00777B12">
      <w:pPr>
        <w:ind w:left="720"/>
        <w:jc w:val="both"/>
      </w:pPr>
      <w:r>
        <w:t>• Breach readiness</w:t>
      </w:r>
    </w:p>
    <w:p w14:paraId="1F6CAFF9" w14:textId="77777777" w:rsidR="00777B12" w:rsidRDefault="00777B12" w:rsidP="00777B12">
      <w:pPr>
        <w:ind w:left="720"/>
        <w:jc w:val="both"/>
      </w:pPr>
      <w:r>
        <w:t>• Data lifecycle management</w:t>
      </w:r>
    </w:p>
    <w:p w14:paraId="27A7B9A0" w14:textId="77777777" w:rsidR="00777B12" w:rsidRDefault="00777B12" w:rsidP="00777B12">
      <w:pPr>
        <w:jc w:val="both"/>
      </w:pPr>
      <w:r>
        <w:t>Prepare a remediation plan.</w:t>
      </w:r>
    </w:p>
    <w:p w14:paraId="6889049E" w14:textId="77777777" w:rsidR="00777B12" w:rsidRPr="00D50468" w:rsidRDefault="00777B12" w:rsidP="00777B12">
      <w:pPr>
        <w:pStyle w:val="Heading3"/>
      </w:pPr>
      <w:r w:rsidRPr="00D50468">
        <w:t>Phase 4: Implement Technical Safeguards</w:t>
      </w:r>
    </w:p>
    <w:p w14:paraId="14630664" w14:textId="77777777" w:rsidR="00777B12" w:rsidRDefault="00777B12" w:rsidP="00777B12">
      <w:pPr>
        <w:jc w:val="both"/>
      </w:pPr>
    </w:p>
    <w:p w14:paraId="6B8304E7" w14:textId="5975B9BA" w:rsidR="00777B12" w:rsidRDefault="00777B12" w:rsidP="00777B12">
      <w:pPr>
        <w:jc w:val="both"/>
      </w:pPr>
      <w:r>
        <w:t>Depending on your maturity, this may include:</w:t>
      </w:r>
    </w:p>
    <w:p w14:paraId="1C5FF427" w14:textId="77777777" w:rsidR="00777B12" w:rsidRDefault="00777B12" w:rsidP="00777B12">
      <w:pPr>
        <w:ind w:left="720"/>
        <w:jc w:val="both"/>
      </w:pPr>
      <w:r>
        <w:t>• SIEM &amp; monitoring for breach detection</w:t>
      </w:r>
    </w:p>
    <w:p w14:paraId="282634BE" w14:textId="77777777" w:rsidR="00777B12" w:rsidRDefault="00777B12" w:rsidP="00777B12">
      <w:pPr>
        <w:ind w:left="720"/>
        <w:jc w:val="both"/>
      </w:pPr>
      <w:r>
        <w:t>• DLP for data leakage</w:t>
      </w:r>
    </w:p>
    <w:p w14:paraId="5CC215D1" w14:textId="77777777" w:rsidR="00777B12" w:rsidRDefault="00777B12" w:rsidP="00777B12">
      <w:pPr>
        <w:ind w:left="720"/>
        <w:jc w:val="both"/>
      </w:pPr>
      <w:r>
        <w:t>• IAM &amp; MFA for access control</w:t>
      </w:r>
    </w:p>
    <w:p w14:paraId="1CCBE6FE" w14:textId="77777777" w:rsidR="00777B12" w:rsidRDefault="00777B12" w:rsidP="00777B12">
      <w:pPr>
        <w:ind w:left="720"/>
        <w:jc w:val="both"/>
      </w:pPr>
      <w:r>
        <w:t>• Encryption for sensitive data</w:t>
      </w:r>
    </w:p>
    <w:p w14:paraId="55695F9C" w14:textId="77777777" w:rsidR="00777B12" w:rsidRDefault="00777B12" w:rsidP="00777B12">
      <w:pPr>
        <w:ind w:left="720"/>
        <w:jc w:val="both"/>
      </w:pPr>
      <w:r>
        <w:t>• Secure coding &amp; vulnerability management</w:t>
      </w:r>
    </w:p>
    <w:p w14:paraId="4685CC7F" w14:textId="77777777" w:rsidR="00777B12" w:rsidRPr="00D50468" w:rsidRDefault="00777B12" w:rsidP="00777B12">
      <w:pPr>
        <w:pStyle w:val="Heading3"/>
      </w:pPr>
      <w:r w:rsidRPr="00D50468">
        <w:t>Phase 5: Update Notices, Consent Logic &amp; User Interfaces</w:t>
      </w:r>
    </w:p>
    <w:p w14:paraId="479DF372" w14:textId="77777777" w:rsidR="00777B12" w:rsidRDefault="00777B12" w:rsidP="00777B12">
      <w:pPr>
        <w:ind w:left="720"/>
        <w:jc w:val="both"/>
      </w:pPr>
    </w:p>
    <w:p w14:paraId="16030266" w14:textId="0D31B94A" w:rsidR="00777B12" w:rsidRDefault="00777B12" w:rsidP="00777B12">
      <w:pPr>
        <w:ind w:left="720"/>
        <w:jc w:val="both"/>
      </w:pPr>
      <w:r>
        <w:t>• Ensure every collection point has clear notice</w:t>
      </w:r>
    </w:p>
    <w:p w14:paraId="0C7FC9DE" w14:textId="77777777" w:rsidR="00777B12" w:rsidRDefault="00777B12" w:rsidP="00777B12">
      <w:pPr>
        <w:ind w:left="720"/>
        <w:jc w:val="both"/>
      </w:pPr>
      <w:r>
        <w:t>• Implement dashboards for consent management</w:t>
      </w:r>
    </w:p>
    <w:p w14:paraId="1D6FEFB7" w14:textId="77777777" w:rsidR="00777B12" w:rsidRDefault="00777B12" w:rsidP="00777B12">
      <w:pPr>
        <w:ind w:left="720"/>
        <w:jc w:val="both"/>
      </w:pPr>
      <w:r>
        <w:t>• Enable withdrawal of consent with minimal friction</w:t>
      </w:r>
    </w:p>
    <w:p w14:paraId="6A4BFD72" w14:textId="77777777" w:rsidR="00777B12" w:rsidRPr="00D50468" w:rsidRDefault="00777B12" w:rsidP="00777B12">
      <w:pPr>
        <w:pStyle w:val="Heading3"/>
      </w:pPr>
      <w:r w:rsidRPr="00D50468">
        <w:t>Phase 6: Strengthen Vendor &amp; Third-Party Governance</w:t>
      </w:r>
    </w:p>
    <w:p w14:paraId="0046E093" w14:textId="77777777" w:rsidR="00777B12" w:rsidRDefault="00777B12" w:rsidP="00777B12">
      <w:pPr>
        <w:ind w:left="720"/>
        <w:jc w:val="both"/>
      </w:pPr>
      <w:r>
        <w:t>• Update contracts with DPDP clauses</w:t>
      </w:r>
    </w:p>
    <w:p w14:paraId="3A2218EE" w14:textId="77777777" w:rsidR="00777B12" w:rsidRDefault="00777B12" w:rsidP="00777B12">
      <w:pPr>
        <w:ind w:left="720"/>
        <w:jc w:val="both"/>
      </w:pPr>
      <w:r>
        <w:t>• Conduct third-party risk assessments</w:t>
      </w:r>
    </w:p>
    <w:p w14:paraId="49233EC6" w14:textId="77777777" w:rsidR="00777B12" w:rsidRDefault="00777B12" w:rsidP="00777B12">
      <w:pPr>
        <w:ind w:left="720"/>
        <w:jc w:val="both"/>
      </w:pPr>
      <w:r>
        <w:lastRenderedPageBreak/>
        <w:t>• Enforce data minimization and breach reporting obligations</w:t>
      </w:r>
    </w:p>
    <w:p w14:paraId="682C11C3" w14:textId="77777777" w:rsidR="00777B12" w:rsidRPr="00D50468" w:rsidRDefault="00777B12" w:rsidP="00777B12">
      <w:pPr>
        <w:pStyle w:val="Heading3"/>
      </w:pPr>
      <w:r w:rsidRPr="00D50468">
        <w:t>Phase 7: Define Data Retention &amp; Deletion Workflows</w:t>
      </w:r>
    </w:p>
    <w:p w14:paraId="71A2CBB8" w14:textId="77777777" w:rsidR="00777B12" w:rsidRDefault="00777B12" w:rsidP="00777B12">
      <w:pPr>
        <w:ind w:left="720"/>
        <w:jc w:val="both"/>
      </w:pPr>
    </w:p>
    <w:p w14:paraId="7DB24BE4" w14:textId="683FC62E" w:rsidR="00777B12" w:rsidRDefault="00777B12" w:rsidP="00777B12">
      <w:pPr>
        <w:ind w:left="720"/>
        <w:jc w:val="both"/>
      </w:pPr>
      <w:r>
        <w:t>• Ensure retention limits are enforced</w:t>
      </w:r>
    </w:p>
    <w:p w14:paraId="3C1652CE" w14:textId="77777777" w:rsidR="00777B12" w:rsidRDefault="00777B12" w:rsidP="00777B12">
      <w:pPr>
        <w:ind w:left="720"/>
        <w:jc w:val="both"/>
      </w:pPr>
      <w:r>
        <w:t>• Build automation for archival and deletion</w:t>
      </w:r>
    </w:p>
    <w:p w14:paraId="3F736EBF" w14:textId="77777777" w:rsidR="00777B12" w:rsidRDefault="00777B12" w:rsidP="00777B12">
      <w:pPr>
        <w:ind w:left="720"/>
        <w:jc w:val="both"/>
      </w:pPr>
      <w:r>
        <w:t>• Maintain audit evidence</w:t>
      </w:r>
    </w:p>
    <w:p w14:paraId="4A6C5AEB" w14:textId="77777777" w:rsidR="00777B12" w:rsidRPr="00D50468" w:rsidRDefault="00777B12" w:rsidP="00777B12">
      <w:pPr>
        <w:pStyle w:val="Heading3"/>
      </w:pPr>
      <w:r w:rsidRPr="00D50468">
        <w:t>Phase 8: Roll Out Privacy Training &amp; Awareness</w:t>
      </w:r>
    </w:p>
    <w:p w14:paraId="5ABB7C4D" w14:textId="77777777" w:rsidR="00777B12" w:rsidRDefault="00777B12" w:rsidP="00777B12">
      <w:pPr>
        <w:jc w:val="both"/>
      </w:pPr>
    </w:p>
    <w:p w14:paraId="39E8D8CA" w14:textId="60168364" w:rsidR="00777B12" w:rsidRDefault="00777B12" w:rsidP="00777B12">
      <w:pPr>
        <w:jc w:val="both"/>
      </w:pPr>
      <w:r>
        <w:t>Conduct training for:</w:t>
      </w:r>
    </w:p>
    <w:p w14:paraId="34D19B0B" w14:textId="77777777" w:rsidR="00777B12" w:rsidRDefault="00777B12" w:rsidP="00777B12">
      <w:pPr>
        <w:ind w:left="720"/>
        <w:jc w:val="both"/>
      </w:pPr>
      <w:r>
        <w:t>• Employees handling personal data</w:t>
      </w:r>
    </w:p>
    <w:p w14:paraId="6835D0C8" w14:textId="77777777" w:rsidR="00777B12" w:rsidRDefault="00777B12" w:rsidP="00777B12">
      <w:pPr>
        <w:ind w:left="720"/>
        <w:jc w:val="both"/>
      </w:pPr>
      <w:r>
        <w:t>• Developers building digital services</w:t>
      </w:r>
    </w:p>
    <w:p w14:paraId="7397760C" w14:textId="77777777" w:rsidR="00777B12" w:rsidRDefault="00777B12" w:rsidP="00777B12">
      <w:pPr>
        <w:ind w:left="720"/>
        <w:jc w:val="both"/>
      </w:pPr>
      <w:r>
        <w:t>• Customer service teams</w:t>
      </w:r>
    </w:p>
    <w:p w14:paraId="1498B20F" w14:textId="77777777" w:rsidR="00777B12" w:rsidRDefault="00777B12" w:rsidP="00777B12">
      <w:pPr>
        <w:ind w:left="720"/>
        <w:jc w:val="both"/>
      </w:pPr>
      <w:r>
        <w:t>• External partners where applicable</w:t>
      </w:r>
    </w:p>
    <w:p w14:paraId="40F39B20" w14:textId="77777777" w:rsidR="00777B12" w:rsidRPr="00D50468" w:rsidRDefault="00777B12" w:rsidP="00777B12">
      <w:pPr>
        <w:pStyle w:val="Heading3"/>
      </w:pPr>
      <w:r w:rsidRPr="00D50468">
        <w:t>Phase 9: Move to Continuous Compliance</w:t>
      </w:r>
    </w:p>
    <w:p w14:paraId="5C9304DF" w14:textId="77777777" w:rsidR="00777B12" w:rsidRDefault="00777B12" w:rsidP="00777B12">
      <w:pPr>
        <w:ind w:left="720"/>
        <w:jc w:val="both"/>
      </w:pPr>
      <w:r>
        <w:t>• Regular policy reviews</w:t>
      </w:r>
    </w:p>
    <w:p w14:paraId="0F2ECE95" w14:textId="77777777" w:rsidR="00777B12" w:rsidRDefault="00777B12" w:rsidP="00777B12">
      <w:pPr>
        <w:ind w:left="720"/>
        <w:jc w:val="both"/>
      </w:pPr>
      <w:r>
        <w:t>• Annual audits (mandatory for SDFs)</w:t>
      </w:r>
    </w:p>
    <w:p w14:paraId="11B7EF5E" w14:textId="77777777" w:rsidR="00777B12" w:rsidRDefault="00777B12" w:rsidP="00777B12">
      <w:pPr>
        <w:ind w:left="720"/>
        <w:jc w:val="both"/>
      </w:pPr>
      <w:r>
        <w:t>• Periodic risk assessments</w:t>
      </w:r>
    </w:p>
    <w:p w14:paraId="58669654" w14:textId="77777777" w:rsidR="00777B12" w:rsidRDefault="00777B12" w:rsidP="00777B12">
      <w:pPr>
        <w:ind w:left="720"/>
        <w:jc w:val="both"/>
      </w:pPr>
      <w:r>
        <w:t>• Incident simulation exercises</w:t>
      </w:r>
    </w:p>
    <w:p w14:paraId="72A202A8" w14:textId="77777777" w:rsidR="00777B12" w:rsidRDefault="00777B12" w:rsidP="00777B12">
      <w:pPr>
        <w:ind w:left="720"/>
        <w:jc w:val="both"/>
      </w:pPr>
      <w:r>
        <w:t>• Continuous monitoring through SOC</w:t>
      </w:r>
    </w:p>
    <w:p w14:paraId="4C4CE7AF" w14:textId="77777777" w:rsidR="00777B12" w:rsidRDefault="00777B12" w:rsidP="00777B12">
      <w:pPr>
        <w:jc w:val="both"/>
      </w:pPr>
      <w:r>
        <w:t>DPDP compliance is not a one-time project—it is a long-term program of operational discipline.</w:t>
      </w:r>
    </w:p>
    <w:p w14:paraId="3D60F9C5" w14:textId="77777777" w:rsidR="00777B12" w:rsidRPr="00D50468" w:rsidRDefault="00777B12" w:rsidP="00777B12">
      <w:pPr>
        <w:pStyle w:val="Heading2"/>
      </w:pPr>
      <w:r w:rsidRPr="00D50468">
        <w:t>6. Conclusion — DPDP Is an Opportunity, Not Just a Regulation</w:t>
      </w:r>
    </w:p>
    <w:p w14:paraId="228385B9" w14:textId="77777777" w:rsidR="00777B12" w:rsidRDefault="00777B12" w:rsidP="00777B12">
      <w:pPr>
        <w:jc w:val="both"/>
      </w:pPr>
    </w:p>
    <w:p w14:paraId="4C5AC233" w14:textId="35193142" w:rsidR="00777B12" w:rsidRDefault="00777B12" w:rsidP="00777B12">
      <w:pPr>
        <w:jc w:val="both"/>
      </w:pPr>
      <w:r>
        <w:t>While DPDP introduces new responsibilities, it also enables organizations to:</w:t>
      </w:r>
    </w:p>
    <w:p w14:paraId="50D8EAE1" w14:textId="77777777" w:rsidR="00777B12" w:rsidRDefault="00777B12" w:rsidP="00777B12">
      <w:pPr>
        <w:ind w:left="720"/>
        <w:jc w:val="both"/>
      </w:pPr>
      <w:r>
        <w:t>• Build customer trust</w:t>
      </w:r>
    </w:p>
    <w:p w14:paraId="2CB7971A" w14:textId="77777777" w:rsidR="00777B12" w:rsidRDefault="00777B12" w:rsidP="00777B12">
      <w:pPr>
        <w:ind w:left="720"/>
        <w:jc w:val="both"/>
      </w:pPr>
      <w:r>
        <w:t>• Protect digital assets</w:t>
      </w:r>
    </w:p>
    <w:p w14:paraId="1A2C805D" w14:textId="77777777" w:rsidR="00777B12" w:rsidRDefault="00777B12" w:rsidP="00777B12">
      <w:pPr>
        <w:ind w:left="720"/>
        <w:jc w:val="both"/>
      </w:pPr>
      <w:r>
        <w:t>• Strengthen global business credibility</w:t>
      </w:r>
    </w:p>
    <w:p w14:paraId="384520F0" w14:textId="77777777" w:rsidR="00777B12" w:rsidRDefault="00777B12" w:rsidP="00777B12">
      <w:pPr>
        <w:ind w:left="720"/>
        <w:jc w:val="both"/>
      </w:pPr>
      <w:r>
        <w:t>• Improve resilience against cyber threats</w:t>
      </w:r>
    </w:p>
    <w:p w14:paraId="4F0D7705" w14:textId="77777777" w:rsidR="00777B12" w:rsidRDefault="00777B12" w:rsidP="00777B12">
      <w:pPr>
        <w:jc w:val="both"/>
      </w:pPr>
      <w:r>
        <w:t>Forward-looking organizations are treating DPDP as a strategic initiative, not a compliance burden. With the right controls, governance model, and security framework, DPDP compliance becomes a foundation for stronger digital transformation.</w:t>
      </w:r>
    </w:p>
    <w:p w14:paraId="529BE0DE" w14:textId="77777777" w:rsidR="00777B12" w:rsidRDefault="00777B12" w:rsidP="00777B12">
      <w:pPr>
        <w:jc w:val="both"/>
      </w:pPr>
      <w:r>
        <w:lastRenderedPageBreak/>
        <w:t>At ITOrigin, we support organizations across sectors in designing, implementing, and operationalizing their privacy and data protection frameworks. If your organization needs support in readiness assessment, policy development, SOC implementation, or continuous monitoring—we’re here to help.</w:t>
      </w:r>
    </w:p>
    <w:p w14:paraId="410E8DA0" w14:textId="77777777" w:rsidR="00777B12" w:rsidRDefault="00777B12" w:rsidP="00777B12">
      <w:pPr>
        <w:jc w:val="both"/>
      </w:pPr>
    </w:p>
    <w:p w14:paraId="58E41133" w14:textId="77777777" w:rsidR="00E32B4A" w:rsidRDefault="00E32B4A"/>
    <w:p w14:paraId="4074BB67" w14:textId="77777777" w:rsidR="00E32B4A" w:rsidRDefault="00E32B4A"/>
    <w:p w14:paraId="59462B25" w14:textId="77777777" w:rsidR="00E32B4A" w:rsidRDefault="00E32B4A"/>
    <w:p w14:paraId="73F20447" w14:textId="77777777" w:rsidR="00E32B4A" w:rsidRDefault="00E32B4A"/>
    <w:p w14:paraId="269B0FD4" w14:textId="77777777" w:rsidR="00E32B4A" w:rsidRDefault="00E32B4A"/>
    <w:p w14:paraId="25BB118F" w14:textId="77777777" w:rsidR="00E32B4A" w:rsidRDefault="00E32B4A"/>
    <w:p w14:paraId="149D50C0" w14:textId="77777777" w:rsidR="00E32B4A" w:rsidRDefault="00E32B4A"/>
    <w:p w14:paraId="722F9942" w14:textId="77777777" w:rsidR="00E32B4A" w:rsidRDefault="00E32B4A"/>
    <w:p w14:paraId="27176C11" w14:textId="77777777" w:rsidR="00E32B4A" w:rsidRDefault="00E32B4A"/>
    <w:p w14:paraId="4899A204" w14:textId="77777777" w:rsidR="00E32B4A" w:rsidRDefault="00E32B4A"/>
    <w:p w14:paraId="48E94520" w14:textId="77777777" w:rsidR="00E32B4A" w:rsidRDefault="00E32B4A"/>
    <w:p w14:paraId="380DB604" w14:textId="77777777" w:rsidR="00E32B4A" w:rsidRDefault="00E32B4A"/>
    <w:p w14:paraId="2F1F9F86" w14:textId="77777777" w:rsidR="006E1C6C" w:rsidRPr="006E1C6C" w:rsidRDefault="006E1C6C" w:rsidP="006E1C6C"/>
    <w:p w14:paraId="02F08B88" w14:textId="77777777" w:rsidR="006E1C6C" w:rsidRPr="00322F87" w:rsidRDefault="006E1C6C" w:rsidP="006E1C6C">
      <w:pPr>
        <w:rPr>
          <w:lang w:val="en-IN"/>
        </w:rPr>
      </w:pPr>
    </w:p>
    <w:p w14:paraId="6125A32A" w14:textId="77777777" w:rsidR="00EA5FBC" w:rsidRDefault="00EA5FBC" w:rsidP="006E1C6C">
      <w:pPr>
        <w:ind w:firstLine="720"/>
      </w:pPr>
    </w:p>
    <w:p w14:paraId="7BF17C64" w14:textId="77777777" w:rsidR="006E1C6C" w:rsidRDefault="006E1C6C" w:rsidP="006E1C6C">
      <w:pPr>
        <w:ind w:firstLine="720"/>
      </w:pPr>
    </w:p>
    <w:p w14:paraId="7A3DFC04" w14:textId="77777777" w:rsidR="006E1C6C" w:rsidRDefault="006E1C6C" w:rsidP="006E1C6C">
      <w:pPr>
        <w:ind w:firstLine="720"/>
      </w:pPr>
    </w:p>
    <w:p w14:paraId="2F500A14" w14:textId="77777777" w:rsidR="006E1C6C" w:rsidRDefault="006E1C6C" w:rsidP="00777B12"/>
    <w:sectPr w:rsidR="006E1C6C" w:rsidSect="00601646">
      <w:headerReference w:type="even" r:id="rId9"/>
      <w:headerReference w:type="default" r:id="rId10"/>
      <w:footerReference w:type="default" r:id="rId11"/>
      <w:headerReference w:type="first" r:id="rId1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14D88" w14:textId="77777777" w:rsidR="00CB4DC7" w:rsidRDefault="00CB4DC7" w:rsidP="003E6D34">
      <w:pPr>
        <w:spacing w:after="0" w:line="240" w:lineRule="auto"/>
      </w:pPr>
      <w:r>
        <w:separator/>
      </w:r>
    </w:p>
  </w:endnote>
  <w:endnote w:type="continuationSeparator" w:id="0">
    <w:p w14:paraId="77B1A536" w14:textId="77777777" w:rsidR="00CB4DC7" w:rsidRDefault="00CB4DC7" w:rsidP="003E6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non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18554"/>
      <w:docPartObj>
        <w:docPartGallery w:val="Page Numbers (Bottom of Page)"/>
        <w:docPartUnique/>
      </w:docPartObj>
    </w:sdtPr>
    <w:sdtEndPr>
      <w:rPr>
        <w:rFonts w:ascii="Courier New" w:hAnsi="Courier New" w:cs="Courier New"/>
        <w:color w:val="808080" w:themeColor="background1" w:themeShade="80"/>
        <w:sz w:val="16"/>
        <w:szCs w:val="16"/>
      </w:rPr>
    </w:sdtEndPr>
    <w:sdtContent>
      <w:sdt>
        <w:sdtPr>
          <w:id w:val="-1769616900"/>
          <w:docPartObj>
            <w:docPartGallery w:val="Page Numbers (Top of Page)"/>
            <w:docPartUnique/>
          </w:docPartObj>
        </w:sdtPr>
        <w:sdtEndPr>
          <w:rPr>
            <w:rFonts w:ascii="Courier New" w:hAnsi="Courier New" w:cs="Courier New"/>
            <w:color w:val="808080" w:themeColor="background1" w:themeShade="80"/>
            <w:sz w:val="16"/>
            <w:szCs w:val="16"/>
          </w:rPr>
        </w:sdtEndPr>
        <w:sdtContent>
          <w:p w14:paraId="5633C366" w14:textId="2970D274" w:rsidR="00322F87" w:rsidRPr="00322F87" w:rsidRDefault="00322F87">
            <w:pPr>
              <w:pStyle w:val="Footer"/>
              <w:jc w:val="right"/>
              <w:rPr>
                <w:rFonts w:ascii="Courier New" w:hAnsi="Courier New" w:cs="Courier New"/>
                <w:color w:val="808080" w:themeColor="background1" w:themeShade="80"/>
                <w:sz w:val="16"/>
                <w:szCs w:val="16"/>
              </w:rPr>
            </w:pPr>
            <w:r w:rsidRPr="00322F87">
              <w:rPr>
                <w:rFonts w:ascii="Courier New" w:hAnsi="Courier New" w:cs="Courier New"/>
                <w:color w:val="808080" w:themeColor="background1" w:themeShade="80"/>
                <w:sz w:val="16"/>
                <w:szCs w:val="16"/>
              </w:rPr>
              <w:t xml:space="preserve">Page </w:t>
            </w:r>
            <w:r w:rsidRPr="00322F87">
              <w:rPr>
                <w:rFonts w:ascii="Courier New" w:hAnsi="Courier New" w:cs="Courier New"/>
                <w:b/>
                <w:bCs/>
                <w:color w:val="808080" w:themeColor="background1" w:themeShade="80"/>
                <w:sz w:val="16"/>
                <w:szCs w:val="16"/>
              </w:rPr>
              <w:fldChar w:fldCharType="begin"/>
            </w:r>
            <w:r w:rsidRPr="00322F87">
              <w:rPr>
                <w:rFonts w:ascii="Courier New" w:hAnsi="Courier New" w:cs="Courier New"/>
                <w:b/>
                <w:bCs/>
                <w:color w:val="808080" w:themeColor="background1" w:themeShade="80"/>
                <w:sz w:val="16"/>
                <w:szCs w:val="16"/>
              </w:rPr>
              <w:instrText xml:space="preserve"> PAGE </w:instrText>
            </w:r>
            <w:r w:rsidRPr="00322F87">
              <w:rPr>
                <w:rFonts w:ascii="Courier New" w:hAnsi="Courier New" w:cs="Courier New"/>
                <w:b/>
                <w:bCs/>
                <w:color w:val="808080" w:themeColor="background1" w:themeShade="80"/>
                <w:sz w:val="16"/>
                <w:szCs w:val="16"/>
              </w:rPr>
              <w:fldChar w:fldCharType="separate"/>
            </w:r>
            <w:r w:rsidRPr="00322F87">
              <w:rPr>
                <w:rFonts w:ascii="Courier New" w:hAnsi="Courier New" w:cs="Courier New"/>
                <w:b/>
                <w:bCs/>
                <w:noProof/>
                <w:color w:val="808080" w:themeColor="background1" w:themeShade="80"/>
                <w:sz w:val="16"/>
                <w:szCs w:val="16"/>
              </w:rPr>
              <w:t>2</w:t>
            </w:r>
            <w:r w:rsidRPr="00322F87">
              <w:rPr>
                <w:rFonts w:ascii="Courier New" w:hAnsi="Courier New" w:cs="Courier New"/>
                <w:b/>
                <w:bCs/>
                <w:color w:val="808080" w:themeColor="background1" w:themeShade="80"/>
                <w:sz w:val="16"/>
                <w:szCs w:val="16"/>
              </w:rPr>
              <w:fldChar w:fldCharType="end"/>
            </w:r>
            <w:r w:rsidRPr="00322F87">
              <w:rPr>
                <w:rFonts w:ascii="Courier New" w:hAnsi="Courier New" w:cs="Courier New"/>
                <w:color w:val="808080" w:themeColor="background1" w:themeShade="80"/>
                <w:sz w:val="16"/>
                <w:szCs w:val="16"/>
              </w:rPr>
              <w:t xml:space="preserve"> of </w:t>
            </w:r>
            <w:r w:rsidRPr="00322F87">
              <w:rPr>
                <w:rFonts w:ascii="Courier New" w:hAnsi="Courier New" w:cs="Courier New"/>
                <w:b/>
                <w:bCs/>
                <w:color w:val="808080" w:themeColor="background1" w:themeShade="80"/>
                <w:sz w:val="16"/>
                <w:szCs w:val="16"/>
              </w:rPr>
              <w:fldChar w:fldCharType="begin"/>
            </w:r>
            <w:r w:rsidRPr="00322F87">
              <w:rPr>
                <w:rFonts w:ascii="Courier New" w:hAnsi="Courier New" w:cs="Courier New"/>
                <w:b/>
                <w:bCs/>
                <w:color w:val="808080" w:themeColor="background1" w:themeShade="80"/>
                <w:sz w:val="16"/>
                <w:szCs w:val="16"/>
              </w:rPr>
              <w:instrText xml:space="preserve"> NUMPAGES  </w:instrText>
            </w:r>
            <w:r w:rsidRPr="00322F87">
              <w:rPr>
                <w:rFonts w:ascii="Courier New" w:hAnsi="Courier New" w:cs="Courier New"/>
                <w:b/>
                <w:bCs/>
                <w:color w:val="808080" w:themeColor="background1" w:themeShade="80"/>
                <w:sz w:val="16"/>
                <w:szCs w:val="16"/>
              </w:rPr>
              <w:fldChar w:fldCharType="separate"/>
            </w:r>
            <w:r w:rsidRPr="00322F87">
              <w:rPr>
                <w:rFonts w:ascii="Courier New" w:hAnsi="Courier New" w:cs="Courier New"/>
                <w:b/>
                <w:bCs/>
                <w:noProof/>
                <w:color w:val="808080" w:themeColor="background1" w:themeShade="80"/>
                <w:sz w:val="16"/>
                <w:szCs w:val="16"/>
              </w:rPr>
              <w:t>2</w:t>
            </w:r>
            <w:r w:rsidRPr="00322F87">
              <w:rPr>
                <w:rFonts w:ascii="Courier New" w:hAnsi="Courier New" w:cs="Courier New"/>
                <w:b/>
                <w:bCs/>
                <w:color w:val="808080" w:themeColor="background1" w:themeShade="80"/>
                <w:sz w:val="16"/>
                <w:szCs w:val="16"/>
              </w:rPr>
              <w:fldChar w:fldCharType="end"/>
            </w:r>
          </w:p>
        </w:sdtContent>
      </w:sdt>
    </w:sdtContent>
  </w:sdt>
  <w:p w14:paraId="2F13D813" w14:textId="77777777" w:rsidR="001A6D02" w:rsidRDefault="001A6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E0C2E" w14:textId="77777777" w:rsidR="00CB4DC7" w:rsidRDefault="00CB4DC7" w:rsidP="003E6D34">
      <w:pPr>
        <w:spacing w:after="0" w:line="240" w:lineRule="auto"/>
      </w:pPr>
      <w:r>
        <w:separator/>
      </w:r>
    </w:p>
  </w:footnote>
  <w:footnote w:type="continuationSeparator" w:id="0">
    <w:p w14:paraId="10D0B49E" w14:textId="77777777" w:rsidR="00CB4DC7" w:rsidRDefault="00CB4DC7" w:rsidP="003E6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9E79F" w14:textId="77777777" w:rsidR="003E6D34" w:rsidRDefault="00000000">
    <w:pPr>
      <w:pStyle w:val="Header"/>
    </w:pPr>
    <w:r>
      <w:rPr>
        <w:noProof/>
      </w:rPr>
      <w:pict w14:anchorId="107F81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612204" o:spid="_x0000_s1035" type="#_x0000_t75" style="position:absolute;margin-left:0;margin-top:0;width:595.2pt;height:841.9pt;z-index:-251657216;mso-position-horizontal:center;mso-position-horizontal-relative:margin;mso-position-vertical:center;mso-position-vertical-relative:margin" o:allowincell="f">
          <v:imagedata r:id="rId1" o:title="background2-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8D64D" w14:textId="77777777" w:rsidR="003E6D34" w:rsidRDefault="00C74C8A">
    <w:pPr>
      <w:pStyle w:val="Header"/>
    </w:pPr>
    <w:r>
      <w:rPr>
        <w:noProof/>
      </w:rPr>
      <mc:AlternateContent>
        <mc:Choice Requires="wps">
          <w:drawing>
            <wp:anchor distT="45720" distB="45720" distL="114300" distR="114300" simplePos="0" relativeHeight="251662336" behindDoc="0" locked="0" layoutInCell="1" allowOverlap="1" wp14:anchorId="06911A55" wp14:editId="07ABE5CE">
              <wp:simplePos x="0" y="0"/>
              <wp:positionH relativeFrom="margin">
                <wp:align>right</wp:align>
              </wp:positionH>
              <wp:positionV relativeFrom="paragraph">
                <wp:posOffset>77470</wp:posOffset>
              </wp:positionV>
              <wp:extent cx="1454150" cy="387350"/>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150" cy="387350"/>
                      </a:xfrm>
                      <a:prstGeom prst="rect">
                        <a:avLst/>
                      </a:prstGeom>
                      <a:noFill/>
                      <a:ln w="9525">
                        <a:noFill/>
                        <a:miter lim="800000"/>
                        <a:headEnd/>
                        <a:tailEnd/>
                      </a:ln>
                    </wps:spPr>
                    <wps:txbx>
                      <w:txbxContent>
                        <w:p w14:paraId="31B74C12" w14:textId="794BAEE7" w:rsidR="00C74C8A" w:rsidRDefault="00777B12">
                          <w:r>
                            <w:rPr>
                              <w:noProof/>
                            </w:rPr>
                            <w:drawing>
                              <wp:inline distT="0" distB="0" distL="0" distR="0" wp14:anchorId="2E0A5007" wp14:editId="71944C85">
                                <wp:extent cx="1262380" cy="259080"/>
                                <wp:effectExtent l="0" t="0" r="0" b="7620"/>
                                <wp:docPr id="1514279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2380" cy="25908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911A55" id="_x0000_t202" coordsize="21600,21600" o:spt="202" path="m,l,21600r21600,l21600,xe">
              <v:stroke joinstyle="miter"/>
              <v:path gradientshapeok="t" o:connecttype="rect"/>
            </v:shapetype>
            <v:shape id="Text Box 2" o:spid="_x0000_s1026" type="#_x0000_t202" style="position:absolute;margin-left:63.3pt;margin-top:6.1pt;width:114.5pt;height:30.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" filled="f" stroked="f">
              <v:textbox>
                <w:txbxContent>
                  <w:p w14:paraId="31B74C12" w14:textId="794BAEE7" w:rsidR="00C74C8A" w:rsidRDefault="00777B12">
                    <w:r>
                      <w:rPr>
                        <w:noProof/>
                      </w:rPr>
                      <w:drawing>
                        <wp:inline distT="0" distB="0" distL="0" distR="0" wp14:anchorId="2E0A5007" wp14:editId="71944C85">
                          <wp:extent cx="1262380" cy="259080"/>
                          <wp:effectExtent l="0" t="0" r="0" b="7620"/>
                          <wp:docPr id="1514279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2380" cy="259080"/>
                                  </a:xfrm>
                                  <a:prstGeom prst="rect">
                                    <a:avLst/>
                                  </a:prstGeom>
                                  <a:noFill/>
                                  <a:ln>
                                    <a:noFill/>
                                  </a:ln>
                                </pic:spPr>
                              </pic:pic>
                            </a:graphicData>
                          </a:graphic>
                        </wp:inline>
                      </w:drawing>
                    </w:r>
                  </w:p>
                </w:txbxContent>
              </v:textbox>
              <w10:wrap type="square" anchorx="margin"/>
            </v:shape>
          </w:pict>
        </mc:Fallback>
      </mc:AlternateContent>
    </w:r>
    <w:r w:rsidR="00000000">
      <w:rPr>
        <w:noProof/>
      </w:rPr>
      <w:pict w14:anchorId="689BC8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612205" o:spid="_x0000_s1036" type="#_x0000_t75" style="position:absolute;margin-left:0;margin-top:0;width:595.2pt;height:841.9pt;z-index:-251656192;mso-position-horizontal:center;mso-position-horizontal-relative:margin;mso-position-vertical:center;mso-position-vertical-relative:margin" o:allowincell="f">
          <v:imagedata r:id="rId3" o:title="background2-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1CF07" w14:textId="77777777" w:rsidR="003E6D34" w:rsidRDefault="00000000">
    <w:pPr>
      <w:pStyle w:val="Header"/>
    </w:pPr>
    <w:r>
      <w:rPr>
        <w:noProof/>
      </w:rPr>
      <w:pict w14:anchorId="3B727C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612203" o:spid="_x0000_s1034" type="#_x0000_t75" style="position:absolute;margin-left:0;margin-top:0;width:595.2pt;height:841.9pt;z-index:-251658240;mso-position-horizontal:center;mso-position-horizontal-relative:margin;mso-position-vertical:center;mso-position-vertical-relative:margin" o:allowincell="f">
          <v:imagedata r:id="rId1" o:title="background2-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9B0"/>
    <w:multiLevelType w:val="hybridMultilevel"/>
    <w:tmpl w:val="B896CA98"/>
    <w:lvl w:ilvl="0" w:tplc="594AF01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8431D0"/>
    <w:multiLevelType w:val="hybridMultilevel"/>
    <w:tmpl w:val="5E08B596"/>
    <w:lvl w:ilvl="0" w:tplc="B22CBC5C">
      <w:start w:val="1"/>
      <w:numFmt w:val="bullet"/>
      <w:lvlText w:val=""/>
      <w:lvlJc w:val="left"/>
      <w:pPr>
        <w:ind w:left="502" w:hanging="360"/>
      </w:pPr>
      <w:rPr>
        <w:rFonts w:ascii="Symbol" w:hAnsi="Symbol" w:hint="default"/>
        <w:color w:val="4F81BD" w:themeColor="accent1"/>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04AB4517"/>
    <w:multiLevelType w:val="hybridMultilevel"/>
    <w:tmpl w:val="24E27A6E"/>
    <w:lvl w:ilvl="0" w:tplc="4009000B">
      <w:start w:val="1"/>
      <w:numFmt w:val="bullet"/>
      <w:lvlText w:val=""/>
      <w:lvlJc w:val="left"/>
      <w:pPr>
        <w:ind w:left="1440" w:hanging="360"/>
      </w:pPr>
      <w:rPr>
        <w:rFonts w:ascii="Wingdings" w:hAnsi="Wingdings" w:cs="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5CD3117"/>
    <w:multiLevelType w:val="hybridMultilevel"/>
    <w:tmpl w:val="154A2AA2"/>
    <w:lvl w:ilvl="0" w:tplc="B22CBC5C">
      <w:start w:val="1"/>
      <w:numFmt w:val="bullet"/>
      <w:lvlText w:val=""/>
      <w:lvlJc w:val="left"/>
      <w:pPr>
        <w:ind w:left="1713" w:hanging="360"/>
      </w:pPr>
      <w:rPr>
        <w:rFonts w:ascii="Symbol" w:hAnsi="Symbol" w:hint="default"/>
        <w:color w:val="4F81BD" w:themeColor="accent1"/>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4" w15:restartNumberingAfterBreak="0">
    <w:nsid w:val="0A28638B"/>
    <w:multiLevelType w:val="hybridMultilevel"/>
    <w:tmpl w:val="216A64E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42380F"/>
    <w:multiLevelType w:val="hybridMultilevel"/>
    <w:tmpl w:val="93C09E38"/>
    <w:lvl w:ilvl="0" w:tplc="AC967B7A">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BA72BEF"/>
    <w:multiLevelType w:val="hybridMultilevel"/>
    <w:tmpl w:val="1AAA306A"/>
    <w:lvl w:ilvl="0" w:tplc="594AF01A">
      <w:start w:val="1"/>
      <w:numFmt w:val="bullet"/>
      <w:lvlText w:val=""/>
      <w:lvlJc w:val="left"/>
      <w:pPr>
        <w:ind w:left="720" w:hanging="360"/>
      </w:pPr>
      <w:rPr>
        <w:rFonts w:ascii="Wingdings" w:hAnsi="Wingdings" w:hint="default"/>
        <w:color w:val="4F81BD" w:themeColor="accen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27758F"/>
    <w:multiLevelType w:val="multilevel"/>
    <w:tmpl w:val="7AB4EFAA"/>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F72CA0"/>
    <w:multiLevelType w:val="hybridMultilevel"/>
    <w:tmpl w:val="80FA5804"/>
    <w:lvl w:ilvl="0" w:tplc="B22CBC5C">
      <w:start w:val="1"/>
      <w:numFmt w:val="bullet"/>
      <w:lvlText w:val=""/>
      <w:lvlJc w:val="left"/>
      <w:pPr>
        <w:ind w:left="2880" w:hanging="360"/>
      </w:pPr>
      <w:rPr>
        <w:rFonts w:ascii="Symbol" w:hAnsi="Symbol" w:hint="default"/>
        <w:color w:val="4F81BD" w:themeColor="accent1"/>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 w15:restartNumberingAfterBreak="0">
    <w:nsid w:val="1A84661D"/>
    <w:multiLevelType w:val="hybridMultilevel"/>
    <w:tmpl w:val="FE722A26"/>
    <w:lvl w:ilvl="0" w:tplc="FF10CCBC">
      <w:start w:val="1"/>
      <w:numFmt w:val="decimal"/>
      <w:lvlText w:val="%1."/>
      <w:lvlJc w:val="left"/>
      <w:pPr>
        <w:ind w:left="76" w:hanging="360"/>
      </w:pPr>
      <w:rPr>
        <w:rFonts w:hint="default"/>
        <w:b/>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0" w15:restartNumberingAfterBreak="0">
    <w:nsid w:val="1B6766DB"/>
    <w:multiLevelType w:val="hybridMultilevel"/>
    <w:tmpl w:val="40B26A08"/>
    <w:lvl w:ilvl="0" w:tplc="4009000B">
      <w:start w:val="1"/>
      <w:numFmt w:val="bullet"/>
      <w:lvlText w:val=""/>
      <w:lvlJc w:val="left"/>
      <w:pPr>
        <w:ind w:left="720" w:hanging="360"/>
      </w:pPr>
      <w:rPr>
        <w:rFonts w:ascii="Wingdings" w:hAnsi="Wingdings" w:cs="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E02CF8"/>
    <w:multiLevelType w:val="hybridMultilevel"/>
    <w:tmpl w:val="E1DC6D6A"/>
    <w:lvl w:ilvl="0" w:tplc="B22CBC5C">
      <w:start w:val="1"/>
      <w:numFmt w:val="bullet"/>
      <w:lvlText w:val=""/>
      <w:lvlJc w:val="left"/>
      <w:pPr>
        <w:ind w:left="1287" w:hanging="360"/>
      </w:pPr>
      <w:rPr>
        <w:rFonts w:ascii="Symbol" w:hAnsi="Symbol" w:hint="default"/>
        <w:color w:val="4F81BD" w:themeColor="accent1"/>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15:restartNumberingAfterBreak="0">
    <w:nsid w:val="21DE698A"/>
    <w:multiLevelType w:val="hybridMultilevel"/>
    <w:tmpl w:val="1F9CE3A2"/>
    <w:lvl w:ilvl="0" w:tplc="B22CBC5C">
      <w:start w:val="1"/>
      <w:numFmt w:val="bullet"/>
      <w:lvlText w:val=""/>
      <w:lvlJc w:val="left"/>
      <w:pPr>
        <w:ind w:left="1440" w:hanging="360"/>
      </w:pPr>
      <w:rPr>
        <w:rFonts w:ascii="Symbol" w:hAnsi="Symbol" w:hint="default"/>
        <w:color w:val="4F81BD" w:themeColor="accen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5BF42EA"/>
    <w:multiLevelType w:val="hybridMultilevel"/>
    <w:tmpl w:val="802ED142"/>
    <w:lvl w:ilvl="0" w:tplc="B22CBC5C">
      <w:start w:val="1"/>
      <w:numFmt w:val="bullet"/>
      <w:lvlText w:val=""/>
      <w:lvlJc w:val="left"/>
      <w:pPr>
        <w:ind w:left="720" w:hanging="360"/>
      </w:pPr>
      <w:rPr>
        <w:rFonts w:ascii="Symbol" w:hAnsi="Symbol" w:hint="default"/>
        <w:color w:val="4F81BD" w:themeColor="accen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F013D8"/>
    <w:multiLevelType w:val="hybridMultilevel"/>
    <w:tmpl w:val="03FE8924"/>
    <w:lvl w:ilvl="0" w:tplc="AC967B7A">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6333804"/>
    <w:multiLevelType w:val="hybridMultilevel"/>
    <w:tmpl w:val="7BFABF84"/>
    <w:lvl w:ilvl="0" w:tplc="594AF01A">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D674A3"/>
    <w:multiLevelType w:val="hybridMultilevel"/>
    <w:tmpl w:val="E4D6975A"/>
    <w:lvl w:ilvl="0" w:tplc="B22CBC5C">
      <w:start w:val="1"/>
      <w:numFmt w:val="bullet"/>
      <w:lvlText w:val=""/>
      <w:lvlJc w:val="left"/>
      <w:pPr>
        <w:ind w:left="1440" w:hanging="360"/>
      </w:pPr>
      <w:rPr>
        <w:rFonts w:ascii="Symbol" w:hAnsi="Symbol" w:hint="default"/>
        <w:color w:val="4F81BD" w:themeColor="accen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0A73583"/>
    <w:multiLevelType w:val="hybridMultilevel"/>
    <w:tmpl w:val="3508BE9C"/>
    <w:lvl w:ilvl="0" w:tplc="B296C02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58447E"/>
    <w:multiLevelType w:val="hybridMultilevel"/>
    <w:tmpl w:val="AD787062"/>
    <w:lvl w:ilvl="0" w:tplc="0AB8ADA8">
      <w:start w:val="1"/>
      <w:numFmt w:val="bullet"/>
      <w:lvlText w:val="-"/>
      <w:lvlJc w:val="left"/>
      <w:pPr>
        <w:ind w:left="1932" w:hanging="360"/>
      </w:pPr>
      <w:rPr>
        <w:rFonts w:ascii="Verdana" w:hAnsi="Verdana" w:hint="default"/>
        <w:b/>
        <w:bCs w:val="0"/>
      </w:rPr>
    </w:lvl>
    <w:lvl w:ilvl="1" w:tplc="40090003" w:tentative="1">
      <w:start w:val="1"/>
      <w:numFmt w:val="bullet"/>
      <w:lvlText w:val="o"/>
      <w:lvlJc w:val="left"/>
      <w:pPr>
        <w:ind w:left="2652" w:hanging="360"/>
      </w:pPr>
      <w:rPr>
        <w:rFonts w:ascii="Courier New" w:hAnsi="Courier New" w:cs="Courier New" w:hint="default"/>
      </w:rPr>
    </w:lvl>
    <w:lvl w:ilvl="2" w:tplc="40090005" w:tentative="1">
      <w:start w:val="1"/>
      <w:numFmt w:val="bullet"/>
      <w:lvlText w:val=""/>
      <w:lvlJc w:val="left"/>
      <w:pPr>
        <w:ind w:left="3372" w:hanging="360"/>
      </w:pPr>
      <w:rPr>
        <w:rFonts w:ascii="Wingdings" w:hAnsi="Wingdings" w:hint="default"/>
      </w:rPr>
    </w:lvl>
    <w:lvl w:ilvl="3" w:tplc="40090001" w:tentative="1">
      <w:start w:val="1"/>
      <w:numFmt w:val="bullet"/>
      <w:lvlText w:val=""/>
      <w:lvlJc w:val="left"/>
      <w:pPr>
        <w:ind w:left="4092" w:hanging="360"/>
      </w:pPr>
      <w:rPr>
        <w:rFonts w:ascii="Symbol" w:hAnsi="Symbol" w:hint="default"/>
      </w:rPr>
    </w:lvl>
    <w:lvl w:ilvl="4" w:tplc="40090003" w:tentative="1">
      <w:start w:val="1"/>
      <w:numFmt w:val="bullet"/>
      <w:lvlText w:val="o"/>
      <w:lvlJc w:val="left"/>
      <w:pPr>
        <w:ind w:left="4812" w:hanging="360"/>
      </w:pPr>
      <w:rPr>
        <w:rFonts w:ascii="Courier New" w:hAnsi="Courier New" w:cs="Courier New" w:hint="default"/>
      </w:rPr>
    </w:lvl>
    <w:lvl w:ilvl="5" w:tplc="40090005" w:tentative="1">
      <w:start w:val="1"/>
      <w:numFmt w:val="bullet"/>
      <w:lvlText w:val=""/>
      <w:lvlJc w:val="left"/>
      <w:pPr>
        <w:ind w:left="5532" w:hanging="360"/>
      </w:pPr>
      <w:rPr>
        <w:rFonts w:ascii="Wingdings" w:hAnsi="Wingdings" w:hint="default"/>
      </w:rPr>
    </w:lvl>
    <w:lvl w:ilvl="6" w:tplc="40090001" w:tentative="1">
      <w:start w:val="1"/>
      <w:numFmt w:val="bullet"/>
      <w:lvlText w:val=""/>
      <w:lvlJc w:val="left"/>
      <w:pPr>
        <w:ind w:left="6252" w:hanging="360"/>
      </w:pPr>
      <w:rPr>
        <w:rFonts w:ascii="Symbol" w:hAnsi="Symbol" w:hint="default"/>
      </w:rPr>
    </w:lvl>
    <w:lvl w:ilvl="7" w:tplc="40090003" w:tentative="1">
      <w:start w:val="1"/>
      <w:numFmt w:val="bullet"/>
      <w:lvlText w:val="o"/>
      <w:lvlJc w:val="left"/>
      <w:pPr>
        <w:ind w:left="6972" w:hanging="360"/>
      </w:pPr>
      <w:rPr>
        <w:rFonts w:ascii="Courier New" w:hAnsi="Courier New" w:cs="Courier New" w:hint="default"/>
      </w:rPr>
    </w:lvl>
    <w:lvl w:ilvl="8" w:tplc="40090005" w:tentative="1">
      <w:start w:val="1"/>
      <w:numFmt w:val="bullet"/>
      <w:lvlText w:val=""/>
      <w:lvlJc w:val="left"/>
      <w:pPr>
        <w:ind w:left="7692" w:hanging="360"/>
      </w:pPr>
      <w:rPr>
        <w:rFonts w:ascii="Wingdings" w:hAnsi="Wingdings" w:hint="default"/>
      </w:rPr>
    </w:lvl>
  </w:abstractNum>
  <w:abstractNum w:abstractNumId="19" w15:restartNumberingAfterBreak="0">
    <w:nsid w:val="33A17281"/>
    <w:multiLevelType w:val="multilevel"/>
    <w:tmpl w:val="1BE44EA6"/>
    <w:lvl w:ilvl="0">
      <w:start w:val="1"/>
      <w:numFmt w:val="bullet"/>
      <w:lvlText w:val=""/>
      <w:lvlJc w:val="left"/>
      <w:pPr>
        <w:tabs>
          <w:tab w:val="num" w:pos="340"/>
        </w:tabs>
        <w:ind w:left="340" w:hanging="340"/>
      </w:pPr>
      <w:rPr>
        <w:rFonts w:ascii="Wingdings" w:hAnsi="Wingdings" w:hint="default"/>
        <w:color w:val="4F81BD" w:themeColor="accent1"/>
      </w:rPr>
    </w:lvl>
    <w:lvl w:ilvl="1">
      <w:start w:val="1"/>
      <w:numFmt w:val="bullet"/>
      <w:lvlText w:val="–"/>
      <w:lvlJc w:val="left"/>
      <w:pPr>
        <w:tabs>
          <w:tab w:val="num" w:pos="680"/>
        </w:tabs>
        <w:ind w:left="680" w:hanging="340"/>
      </w:pPr>
      <w:rPr>
        <w:rFonts w:hint="default"/>
        <w:color w:val="4F81BD" w:themeColor="accent1"/>
      </w:rPr>
    </w:lvl>
    <w:lvl w:ilvl="2">
      <w:start w:val="1"/>
      <w:numFmt w:val="bullet"/>
      <w:lvlText w:val="–"/>
      <w:lvlJc w:val="left"/>
      <w:pPr>
        <w:tabs>
          <w:tab w:val="num" w:pos="1021"/>
        </w:tabs>
        <w:ind w:left="1021" w:hanging="341"/>
      </w:pPr>
      <w:rPr>
        <w:rFonts w:hint="default"/>
        <w:color w:val="4F81BD"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0" w15:restartNumberingAfterBreak="0">
    <w:nsid w:val="34671174"/>
    <w:multiLevelType w:val="hybridMultilevel"/>
    <w:tmpl w:val="776E34D2"/>
    <w:lvl w:ilvl="0" w:tplc="B22CBC5C">
      <w:start w:val="1"/>
      <w:numFmt w:val="bullet"/>
      <w:lvlText w:val=""/>
      <w:lvlJc w:val="left"/>
      <w:pPr>
        <w:ind w:left="1538" w:hanging="360"/>
      </w:pPr>
      <w:rPr>
        <w:rFonts w:ascii="Symbol" w:hAnsi="Symbol" w:hint="default"/>
        <w:color w:val="4F81BD" w:themeColor="accent1"/>
      </w:rPr>
    </w:lvl>
    <w:lvl w:ilvl="1" w:tplc="40090003" w:tentative="1">
      <w:start w:val="1"/>
      <w:numFmt w:val="bullet"/>
      <w:lvlText w:val="o"/>
      <w:lvlJc w:val="left"/>
      <w:pPr>
        <w:ind w:left="2258" w:hanging="360"/>
      </w:pPr>
      <w:rPr>
        <w:rFonts w:ascii="Courier New" w:hAnsi="Courier New" w:cs="Courier New" w:hint="default"/>
      </w:rPr>
    </w:lvl>
    <w:lvl w:ilvl="2" w:tplc="40090005" w:tentative="1">
      <w:start w:val="1"/>
      <w:numFmt w:val="bullet"/>
      <w:lvlText w:val=""/>
      <w:lvlJc w:val="left"/>
      <w:pPr>
        <w:ind w:left="2978" w:hanging="360"/>
      </w:pPr>
      <w:rPr>
        <w:rFonts w:ascii="Wingdings" w:hAnsi="Wingdings" w:hint="default"/>
      </w:rPr>
    </w:lvl>
    <w:lvl w:ilvl="3" w:tplc="40090001" w:tentative="1">
      <w:start w:val="1"/>
      <w:numFmt w:val="bullet"/>
      <w:lvlText w:val=""/>
      <w:lvlJc w:val="left"/>
      <w:pPr>
        <w:ind w:left="3698" w:hanging="360"/>
      </w:pPr>
      <w:rPr>
        <w:rFonts w:ascii="Symbol" w:hAnsi="Symbol" w:hint="default"/>
      </w:rPr>
    </w:lvl>
    <w:lvl w:ilvl="4" w:tplc="40090003" w:tentative="1">
      <w:start w:val="1"/>
      <w:numFmt w:val="bullet"/>
      <w:lvlText w:val="o"/>
      <w:lvlJc w:val="left"/>
      <w:pPr>
        <w:ind w:left="4418" w:hanging="360"/>
      </w:pPr>
      <w:rPr>
        <w:rFonts w:ascii="Courier New" w:hAnsi="Courier New" w:cs="Courier New" w:hint="default"/>
      </w:rPr>
    </w:lvl>
    <w:lvl w:ilvl="5" w:tplc="40090005" w:tentative="1">
      <w:start w:val="1"/>
      <w:numFmt w:val="bullet"/>
      <w:lvlText w:val=""/>
      <w:lvlJc w:val="left"/>
      <w:pPr>
        <w:ind w:left="5138" w:hanging="360"/>
      </w:pPr>
      <w:rPr>
        <w:rFonts w:ascii="Wingdings" w:hAnsi="Wingdings" w:hint="default"/>
      </w:rPr>
    </w:lvl>
    <w:lvl w:ilvl="6" w:tplc="40090001" w:tentative="1">
      <w:start w:val="1"/>
      <w:numFmt w:val="bullet"/>
      <w:lvlText w:val=""/>
      <w:lvlJc w:val="left"/>
      <w:pPr>
        <w:ind w:left="5858" w:hanging="360"/>
      </w:pPr>
      <w:rPr>
        <w:rFonts w:ascii="Symbol" w:hAnsi="Symbol" w:hint="default"/>
      </w:rPr>
    </w:lvl>
    <w:lvl w:ilvl="7" w:tplc="40090003" w:tentative="1">
      <w:start w:val="1"/>
      <w:numFmt w:val="bullet"/>
      <w:lvlText w:val="o"/>
      <w:lvlJc w:val="left"/>
      <w:pPr>
        <w:ind w:left="6578" w:hanging="360"/>
      </w:pPr>
      <w:rPr>
        <w:rFonts w:ascii="Courier New" w:hAnsi="Courier New" w:cs="Courier New" w:hint="default"/>
      </w:rPr>
    </w:lvl>
    <w:lvl w:ilvl="8" w:tplc="40090005" w:tentative="1">
      <w:start w:val="1"/>
      <w:numFmt w:val="bullet"/>
      <w:lvlText w:val=""/>
      <w:lvlJc w:val="left"/>
      <w:pPr>
        <w:ind w:left="7298" w:hanging="360"/>
      </w:pPr>
      <w:rPr>
        <w:rFonts w:ascii="Wingdings" w:hAnsi="Wingdings" w:hint="default"/>
      </w:rPr>
    </w:lvl>
  </w:abstractNum>
  <w:abstractNum w:abstractNumId="21" w15:restartNumberingAfterBreak="0">
    <w:nsid w:val="35E00F74"/>
    <w:multiLevelType w:val="hybridMultilevel"/>
    <w:tmpl w:val="9F285414"/>
    <w:lvl w:ilvl="0" w:tplc="B7ACC62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8F08DE"/>
    <w:multiLevelType w:val="hybridMultilevel"/>
    <w:tmpl w:val="BEFA28DE"/>
    <w:lvl w:ilvl="0" w:tplc="9970D31C">
      <w:start w:val="1"/>
      <w:numFmt w:val="bullet"/>
      <w:lvlText w:val="-"/>
      <w:lvlJc w:val="left"/>
      <w:pPr>
        <w:ind w:left="720" w:hanging="360"/>
      </w:pPr>
      <w:rPr>
        <w:rFonts w:ascii="Symbol" w:hAnsi="Symbol" w:hint="default"/>
        <w:b/>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6E544A"/>
    <w:multiLevelType w:val="hybridMultilevel"/>
    <w:tmpl w:val="72302944"/>
    <w:lvl w:ilvl="0" w:tplc="594AF01A">
      <w:start w:val="1"/>
      <w:numFmt w:val="bullet"/>
      <w:lvlText w:val=""/>
      <w:lvlJc w:val="left"/>
      <w:pPr>
        <w:ind w:left="436" w:hanging="360"/>
      </w:pPr>
      <w:rPr>
        <w:rFonts w:ascii="Wingdings" w:hAnsi="Wingdings" w:hint="default"/>
        <w:b/>
        <w:bCs w:val="0"/>
        <w:color w:val="4F81BD" w:themeColor="accent1"/>
        <w:sz w:val="21"/>
        <w:szCs w:val="21"/>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24" w15:restartNumberingAfterBreak="0">
    <w:nsid w:val="3EB43F90"/>
    <w:multiLevelType w:val="hybridMultilevel"/>
    <w:tmpl w:val="074A0BDA"/>
    <w:lvl w:ilvl="0" w:tplc="4009000B">
      <w:start w:val="1"/>
      <w:numFmt w:val="bullet"/>
      <w:lvlText w:val=""/>
      <w:lvlJc w:val="left"/>
      <w:pPr>
        <w:ind w:left="1440" w:hanging="360"/>
      </w:pPr>
      <w:rPr>
        <w:rFonts w:ascii="Wingdings" w:hAnsi="Wingdings" w:cs="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EB911DF"/>
    <w:multiLevelType w:val="hybridMultilevel"/>
    <w:tmpl w:val="8B6E7FF2"/>
    <w:lvl w:ilvl="0" w:tplc="B22CBC5C">
      <w:start w:val="1"/>
      <w:numFmt w:val="bullet"/>
      <w:lvlText w:val=""/>
      <w:lvlJc w:val="left"/>
      <w:pPr>
        <w:ind w:left="890" w:hanging="360"/>
      </w:pPr>
      <w:rPr>
        <w:rFonts w:ascii="Symbol" w:hAnsi="Symbol" w:hint="default"/>
        <w:color w:val="4F81BD" w:themeColor="accent1"/>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26" w15:restartNumberingAfterBreak="0">
    <w:nsid w:val="415D464B"/>
    <w:multiLevelType w:val="hybridMultilevel"/>
    <w:tmpl w:val="E90886AC"/>
    <w:lvl w:ilvl="0" w:tplc="594AF01A">
      <w:start w:val="1"/>
      <w:numFmt w:val="bullet"/>
      <w:lvlText w:val=""/>
      <w:lvlJc w:val="left"/>
      <w:pPr>
        <w:ind w:left="502" w:hanging="360"/>
      </w:pPr>
      <w:rPr>
        <w:rFonts w:ascii="Wingdings" w:hAnsi="Wingdings" w:hint="default"/>
        <w:b/>
        <w:bCs w:val="0"/>
        <w:color w:val="4F81BD" w:themeColor="accent1"/>
        <w:sz w:val="21"/>
        <w:szCs w:val="21"/>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7" w15:restartNumberingAfterBreak="0">
    <w:nsid w:val="42FB61A1"/>
    <w:multiLevelType w:val="hybridMultilevel"/>
    <w:tmpl w:val="F2FA1E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354" w:hanging="360"/>
      </w:pPr>
      <w:rPr>
        <w:rFonts w:ascii="Courier New" w:hAnsi="Courier New" w:cs="Courier New" w:hint="default"/>
      </w:rPr>
    </w:lvl>
    <w:lvl w:ilvl="2" w:tplc="FFFFFFFF" w:tentative="1">
      <w:start w:val="1"/>
      <w:numFmt w:val="bullet"/>
      <w:lvlText w:val=""/>
      <w:lvlJc w:val="left"/>
      <w:pPr>
        <w:ind w:left="2074" w:hanging="360"/>
      </w:pPr>
      <w:rPr>
        <w:rFonts w:ascii="Wingdings" w:hAnsi="Wingdings" w:hint="default"/>
      </w:rPr>
    </w:lvl>
    <w:lvl w:ilvl="3" w:tplc="FFFFFFFF" w:tentative="1">
      <w:start w:val="1"/>
      <w:numFmt w:val="bullet"/>
      <w:lvlText w:val=""/>
      <w:lvlJc w:val="left"/>
      <w:pPr>
        <w:ind w:left="2794" w:hanging="360"/>
      </w:pPr>
      <w:rPr>
        <w:rFonts w:ascii="Symbol" w:hAnsi="Symbol" w:hint="default"/>
      </w:rPr>
    </w:lvl>
    <w:lvl w:ilvl="4" w:tplc="FFFFFFFF" w:tentative="1">
      <w:start w:val="1"/>
      <w:numFmt w:val="bullet"/>
      <w:lvlText w:val="o"/>
      <w:lvlJc w:val="left"/>
      <w:pPr>
        <w:ind w:left="3514" w:hanging="360"/>
      </w:pPr>
      <w:rPr>
        <w:rFonts w:ascii="Courier New" w:hAnsi="Courier New" w:cs="Courier New" w:hint="default"/>
      </w:rPr>
    </w:lvl>
    <w:lvl w:ilvl="5" w:tplc="FFFFFFFF" w:tentative="1">
      <w:start w:val="1"/>
      <w:numFmt w:val="bullet"/>
      <w:lvlText w:val=""/>
      <w:lvlJc w:val="left"/>
      <w:pPr>
        <w:ind w:left="4234" w:hanging="360"/>
      </w:pPr>
      <w:rPr>
        <w:rFonts w:ascii="Wingdings" w:hAnsi="Wingdings" w:hint="default"/>
      </w:rPr>
    </w:lvl>
    <w:lvl w:ilvl="6" w:tplc="FFFFFFFF" w:tentative="1">
      <w:start w:val="1"/>
      <w:numFmt w:val="bullet"/>
      <w:lvlText w:val=""/>
      <w:lvlJc w:val="left"/>
      <w:pPr>
        <w:ind w:left="4954" w:hanging="360"/>
      </w:pPr>
      <w:rPr>
        <w:rFonts w:ascii="Symbol" w:hAnsi="Symbol" w:hint="default"/>
      </w:rPr>
    </w:lvl>
    <w:lvl w:ilvl="7" w:tplc="FFFFFFFF" w:tentative="1">
      <w:start w:val="1"/>
      <w:numFmt w:val="bullet"/>
      <w:lvlText w:val="o"/>
      <w:lvlJc w:val="left"/>
      <w:pPr>
        <w:ind w:left="5674" w:hanging="360"/>
      </w:pPr>
      <w:rPr>
        <w:rFonts w:ascii="Courier New" w:hAnsi="Courier New" w:cs="Courier New" w:hint="default"/>
      </w:rPr>
    </w:lvl>
    <w:lvl w:ilvl="8" w:tplc="FFFFFFFF" w:tentative="1">
      <w:start w:val="1"/>
      <w:numFmt w:val="bullet"/>
      <w:lvlText w:val=""/>
      <w:lvlJc w:val="left"/>
      <w:pPr>
        <w:ind w:left="6394" w:hanging="360"/>
      </w:pPr>
      <w:rPr>
        <w:rFonts w:ascii="Wingdings" w:hAnsi="Wingdings" w:hint="default"/>
      </w:rPr>
    </w:lvl>
  </w:abstractNum>
  <w:abstractNum w:abstractNumId="28" w15:restartNumberingAfterBreak="0">
    <w:nsid w:val="453E0E37"/>
    <w:multiLevelType w:val="hybridMultilevel"/>
    <w:tmpl w:val="F914F97C"/>
    <w:lvl w:ilvl="0" w:tplc="B7ACC6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8F3D5E"/>
    <w:multiLevelType w:val="hybridMultilevel"/>
    <w:tmpl w:val="A06CE836"/>
    <w:lvl w:ilvl="0" w:tplc="4009000B">
      <w:start w:val="1"/>
      <w:numFmt w:val="bullet"/>
      <w:lvlText w:val=""/>
      <w:lvlJc w:val="left"/>
      <w:pPr>
        <w:ind w:left="2422" w:hanging="360"/>
      </w:pPr>
      <w:rPr>
        <w:rFonts w:ascii="Wingdings" w:hAnsi="Wingdings" w:cs="Wingdings" w:hint="default"/>
      </w:rPr>
    </w:lvl>
    <w:lvl w:ilvl="1" w:tplc="40090003">
      <w:start w:val="1"/>
      <w:numFmt w:val="bullet"/>
      <w:lvlText w:val="o"/>
      <w:lvlJc w:val="left"/>
      <w:pPr>
        <w:ind w:left="3142" w:hanging="360"/>
      </w:pPr>
      <w:rPr>
        <w:rFonts w:ascii="Courier New" w:hAnsi="Courier New" w:cs="Courier New" w:hint="default"/>
      </w:rPr>
    </w:lvl>
    <w:lvl w:ilvl="2" w:tplc="40090005" w:tentative="1">
      <w:start w:val="1"/>
      <w:numFmt w:val="bullet"/>
      <w:lvlText w:val=""/>
      <w:lvlJc w:val="left"/>
      <w:pPr>
        <w:ind w:left="3862" w:hanging="360"/>
      </w:pPr>
      <w:rPr>
        <w:rFonts w:ascii="Wingdings" w:hAnsi="Wingdings" w:hint="default"/>
      </w:rPr>
    </w:lvl>
    <w:lvl w:ilvl="3" w:tplc="40090001" w:tentative="1">
      <w:start w:val="1"/>
      <w:numFmt w:val="bullet"/>
      <w:lvlText w:val=""/>
      <w:lvlJc w:val="left"/>
      <w:pPr>
        <w:ind w:left="4582" w:hanging="360"/>
      </w:pPr>
      <w:rPr>
        <w:rFonts w:ascii="Symbol" w:hAnsi="Symbol" w:hint="default"/>
      </w:rPr>
    </w:lvl>
    <w:lvl w:ilvl="4" w:tplc="40090003" w:tentative="1">
      <w:start w:val="1"/>
      <w:numFmt w:val="bullet"/>
      <w:lvlText w:val="o"/>
      <w:lvlJc w:val="left"/>
      <w:pPr>
        <w:ind w:left="5302" w:hanging="360"/>
      </w:pPr>
      <w:rPr>
        <w:rFonts w:ascii="Courier New" w:hAnsi="Courier New" w:cs="Courier New" w:hint="default"/>
      </w:rPr>
    </w:lvl>
    <w:lvl w:ilvl="5" w:tplc="40090005" w:tentative="1">
      <w:start w:val="1"/>
      <w:numFmt w:val="bullet"/>
      <w:lvlText w:val=""/>
      <w:lvlJc w:val="left"/>
      <w:pPr>
        <w:ind w:left="6022" w:hanging="360"/>
      </w:pPr>
      <w:rPr>
        <w:rFonts w:ascii="Wingdings" w:hAnsi="Wingdings" w:hint="default"/>
      </w:rPr>
    </w:lvl>
    <w:lvl w:ilvl="6" w:tplc="40090001" w:tentative="1">
      <w:start w:val="1"/>
      <w:numFmt w:val="bullet"/>
      <w:lvlText w:val=""/>
      <w:lvlJc w:val="left"/>
      <w:pPr>
        <w:ind w:left="6742" w:hanging="360"/>
      </w:pPr>
      <w:rPr>
        <w:rFonts w:ascii="Symbol" w:hAnsi="Symbol" w:hint="default"/>
      </w:rPr>
    </w:lvl>
    <w:lvl w:ilvl="7" w:tplc="40090003" w:tentative="1">
      <w:start w:val="1"/>
      <w:numFmt w:val="bullet"/>
      <w:lvlText w:val="o"/>
      <w:lvlJc w:val="left"/>
      <w:pPr>
        <w:ind w:left="7462" w:hanging="360"/>
      </w:pPr>
      <w:rPr>
        <w:rFonts w:ascii="Courier New" w:hAnsi="Courier New" w:cs="Courier New" w:hint="default"/>
      </w:rPr>
    </w:lvl>
    <w:lvl w:ilvl="8" w:tplc="40090005" w:tentative="1">
      <w:start w:val="1"/>
      <w:numFmt w:val="bullet"/>
      <w:lvlText w:val=""/>
      <w:lvlJc w:val="left"/>
      <w:pPr>
        <w:ind w:left="8182" w:hanging="360"/>
      </w:pPr>
      <w:rPr>
        <w:rFonts w:ascii="Wingdings" w:hAnsi="Wingdings" w:hint="default"/>
      </w:rPr>
    </w:lvl>
  </w:abstractNum>
  <w:abstractNum w:abstractNumId="30" w15:restartNumberingAfterBreak="0">
    <w:nsid w:val="48564FD6"/>
    <w:multiLevelType w:val="hybridMultilevel"/>
    <w:tmpl w:val="F1562F2A"/>
    <w:lvl w:ilvl="0" w:tplc="B7ACC628">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1" w15:restartNumberingAfterBreak="0">
    <w:nsid w:val="4A0744BE"/>
    <w:multiLevelType w:val="multilevel"/>
    <w:tmpl w:val="AE406882"/>
    <w:lvl w:ilvl="0">
      <w:start w:val="1"/>
      <w:numFmt w:val="bullet"/>
      <w:pStyle w:val="Bullet1"/>
      <w:lvlText w:val=""/>
      <w:lvlJc w:val="left"/>
      <w:pPr>
        <w:tabs>
          <w:tab w:val="num" w:pos="340"/>
        </w:tabs>
        <w:ind w:left="340" w:hanging="340"/>
      </w:pPr>
      <w:rPr>
        <w:rFonts w:ascii="Symbol" w:hAnsi="Symbol" w:cs="Times New Roman" w:hint="default"/>
        <w:color w:val="4F81BD" w:themeColor="accent1"/>
      </w:rPr>
    </w:lvl>
    <w:lvl w:ilvl="1">
      <w:start w:val="1"/>
      <w:numFmt w:val="bullet"/>
      <w:pStyle w:val="Bullet2"/>
      <w:lvlText w:val="–"/>
      <w:lvlJc w:val="left"/>
      <w:pPr>
        <w:tabs>
          <w:tab w:val="num" w:pos="680"/>
        </w:tabs>
        <w:ind w:left="680" w:hanging="340"/>
      </w:pPr>
      <w:rPr>
        <w:rFonts w:hint="default"/>
        <w:color w:val="4F81BD" w:themeColor="accent1"/>
      </w:rPr>
    </w:lvl>
    <w:lvl w:ilvl="2">
      <w:start w:val="1"/>
      <w:numFmt w:val="bullet"/>
      <w:pStyle w:val="Bullet3"/>
      <w:lvlText w:val="–"/>
      <w:lvlJc w:val="left"/>
      <w:pPr>
        <w:tabs>
          <w:tab w:val="num" w:pos="1021"/>
        </w:tabs>
        <w:ind w:left="1021" w:hanging="341"/>
      </w:pPr>
      <w:rPr>
        <w:rFonts w:hint="default"/>
        <w:color w:val="4F81BD"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2" w15:restartNumberingAfterBreak="0">
    <w:nsid w:val="4BAA73C9"/>
    <w:multiLevelType w:val="multilevel"/>
    <w:tmpl w:val="8C78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8C026E"/>
    <w:multiLevelType w:val="hybridMultilevel"/>
    <w:tmpl w:val="BA0E443E"/>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0FF1118"/>
    <w:multiLevelType w:val="hybridMultilevel"/>
    <w:tmpl w:val="D910BFE2"/>
    <w:lvl w:ilvl="0" w:tplc="AC967B7A">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22B0883"/>
    <w:multiLevelType w:val="hybridMultilevel"/>
    <w:tmpl w:val="60B8CE40"/>
    <w:lvl w:ilvl="0" w:tplc="4009000B">
      <w:start w:val="1"/>
      <w:numFmt w:val="bullet"/>
      <w:lvlText w:val=""/>
      <w:lvlJc w:val="left"/>
      <w:pPr>
        <w:ind w:left="720" w:hanging="360"/>
      </w:pPr>
      <w:rPr>
        <w:rFonts w:ascii="Wingdings" w:hAnsi="Wingdings" w:cs="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F26B18"/>
    <w:multiLevelType w:val="hybridMultilevel"/>
    <w:tmpl w:val="6CEE4FC6"/>
    <w:lvl w:ilvl="0" w:tplc="B22CBC5C">
      <w:start w:val="1"/>
      <w:numFmt w:val="bullet"/>
      <w:lvlText w:val=""/>
      <w:lvlJc w:val="left"/>
      <w:pPr>
        <w:ind w:left="1080" w:hanging="360"/>
      </w:pPr>
      <w:rPr>
        <w:rFonts w:ascii="Symbol" w:hAnsi="Symbol" w:hint="default"/>
        <w:color w:val="4F81BD" w:themeColor="accent1"/>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93D4ABB"/>
    <w:multiLevelType w:val="hybridMultilevel"/>
    <w:tmpl w:val="3906F774"/>
    <w:lvl w:ilvl="0" w:tplc="738C654E">
      <w:start w:val="1"/>
      <w:numFmt w:val="bullet"/>
      <w:lvlText w:val=""/>
      <w:lvlJc w:val="left"/>
      <w:pPr>
        <w:ind w:left="862" w:hanging="360"/>
      </w:pPr>
      <w:rPr>
        <w:rFonts w:ascii="Wingdings" w:hAnsi="Wingdings" w:cs="Wingdings" w:hint="default"/>
        <w:color w:val="4F81BD" w:themeColor="accent1"/>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8" w15:restartNumberingAfterBreak="0">
    <w:nsid w:val="59B52E01"/>
    <w:multiLevelType w:val="hybridMultilevel"/>
    <w:tmpl w:val="B132480E"/>
    <w:lvl w:ilvl="0" w:tplc="AD60D0A8">
      <w:start w:val="1"/>
      <w:numFmt w:val="bullet"/>
      <w:lvlText w:val="-"/>
      <w:lvlJc w:val="left"/>
      <w:pPr>
        <w:ind w:left="720" w:hanging="360"/>
      </w:pPr>
      <w:rPr>
        <w:rFonts w:ascii="Verdana" w:hAnsi="Verdana"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B074DD"/>
    <w:multiLevelType w:val="hybridMultilevel"/>
    <w:tmpl w:val="24A8AEFC"/>
    <w:lvl w:ilvl="0" w:tplc="73141F4E">
      <w:start w:val="1"/>
      <w:numFmt w:val="bullet"/>
      <w:lvlText w:val=""/>
      <w:lvlJc w:val="left"/>
      <w:pPr>
        <w:tabs>
          <w:tab w:val="num" w:pos="720"/>
        </w:tabs>
        <w:ind w:left="720" w:hanging="360"/>
      </w:pPr>
      <w:rPr>
        <w:rFonts w:ascii="Wingdings" w:hAnsi="Wingdings" w:hint="default"/>
      </w:rPr>
    </w:lvl>
    <w:lvl w:ilvl="1" w:tplc="6D6E7F66">
      <w:start w:val="1"/>
      <w:numFmt w:val="bullet"/>
      <w:lvlText w:val=""/>
      <w:lvlJc w:val="left"/>
      <w:pPr>
        <w:tabs>
          <w:tab w:val="num" w:pos="1440"/>
        </w:tabs>
        <w:ind w:left="1440" w:hanging="360"/>
      </w:pPr>
      <w:rPr>
        <w:rFonts w:ascii="Wingdings" w:hAnsi="Wingdings" w:hint="default"/>
      </w:rPr>
    </w:lvl>
    <w:lvl w:ilvl="2" w:tplc="ECD09006">
      <w:start w:val="1"/>
      <w:numFmt w:val="bullet"/>
      <w:lvlText w:val=""/>
      <w:lvlJc w:val="left"/>
      <w:pPr>
        <w:tabs>
          <w:tab w:val="num" w:pos="2160"/>
        </w:tabs>
        <w:ind w:left="2160" w:hanging="360"/>
      </w:pPr>
      <w:rPr>
        <w:rFonts w:ascii="Wingdings" w:hAnsi="Wingdings" w:hint="default"/>
      </w:rPr>
    </w:lvl>
    <w:lvl w:ilvl="3" w:tplc="BD2264C2">
      <w:start w:val="1"/>
      <w:numFmt w:val="bullet"/>
      <w:lvlText w:val=""/>
      <w:lvlJc w:val="left"/>
      <w:pPr>
        <w:tabs>
          <w:tab w:val="num" w:pos="2880"/>
        </w:tabs>
        <w:ind w:left="2880" w:hanging="360"/>
      </w:pPr>
      <w:rPr>
        <w:rFonts w:ascii="Wingdings" w:hAnsi="Wingdings" w:hint="default"/>
      </w:rPr>
    </w:lvl>
    <w:lvl w:ilvl="4" w:tplc="EF4E1784" w:tentative="1">
      <w:start w:val="1"/>
      <w:numFmt w:val="bullet"/>
      <w:lvlText w:val=""/>
      <w:lvlJc w:val="left"/>
      <w:pPr>
        <w:tabs>
          <w:tab w:val="num" w:pos="3600"/>
        </w:tabs>
        <w:ind w:left="3600" w:hanging="360"/>
      </w:pPr>
      <w:rPr>
        <w:rFonts w:ascii="Wingdings" w:hAnsi="Wingdings" w:hint="default"/>
      </w:rPr>
    </w:lvl>
    <w:lvl w:ilvl="5" w:tplc="A08EF94E" w:tentative="1">
      <w:start w:val="1"/>
      <w:numFmt w:val="bullet"/>
      <w:lvlText w:val=""/>
      <w:lvlJc w:val="left"/>
      <w:pPr>
        <w:tabs>
          <w:tab w:val="num" w:pos="4320"/>
        </w:tabs>
        <w:ind w:left="4320" w:hanging="360"/>
      </w:pPr>
      <w:rPr>
        <w:rFonts w:ascii="Wingdings" w:hAnsi="Wingdings" w:hint="default"/>
      </w:rPr>
    </w:lvl>
    <w:lvl w:ilvl="6" w:tplc="E1200A2A" w:tentative="1">
      <w:start w:val="1"/>
      <w:numFmt w:val="bullet"/>
      <w:lvlText w:val=""/>
      <w:lvlJc w:val="left"/>
      <w:pPr>
        <w:tabs>
          <w:tab w:val="num" w:pos="5040"/>
        </w:tabs>
        <w:ind w:left="5040" w:hanging="360"/>
      </w:pPr>
      <w:rPr>
        <w:rFonts w:ascii="Wingdings" w:hAnsi="Wingdings" w:hint="default"/>
      </w:rPr>
    </w:lvl>
    <w:lvl w:ilvl="7" w:tplc="6B087170" w:tentative="1">
      <w:start w:val="1"/>
      <w:numFmt w:val="bullet"/>
      <w:lvlText w:val=""/>
      <w:lvlJc w:val="left"/>
      <w:pPr>
        <w:tabs>
          <w:tab w:val="num" w:pos="5760"/>
        </w:tabs>
        <w:ind w:left="5760" w:hanging="360"/>
      </w:pPr>
      <w:rPr>
        <w:rFonts w:ascii="Wingdings" w:hAnsi="Wingdings" w:hint="default"/>
      </w:rPr>
    </w:lvl>
    <w:lvl w:ilvl="8" w:tplc="3DA41262"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9FC3A2C"/>
    <w:multiLevelType w:val="hybridMultilevel"/>
    <w:tmpl w:val="C18E0C8A"/>
    <w:lvl w:ilvl="0" w:tplc="4009000B">
      <w:start w:val="1"/>
      <w:numFmt w:val="bullet"/>
      <w:lvlText w:val=""/>
      <w:lvlJc w:val="left"/>
      <w:pPr>
        <w:ind w:left="720" w:hanging="360"/>
      </w:pPr>
      <w:rPr>
        <w:rFonts w:ascii="Wingdings" w:hAnsi="Wingdings" w:cs="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EE3444F"/>
    <w:multiLevelType w:val="multilevel"/>
    <w:tmpl w:val="3F70FDA6"/>
    <w:lvl w:ilvl="0">
      <w:start w:val="1"/>
      <w:numFmt w:val="bullet"/>
      <w:pStyle w:val="TableBullet1"/>
      <w:lvlText w:val=""/>
      <w:lvlJc w:val="left"/>
      <w:pPr>
        <w:tabs>
          <w:tab w:val="num" w:pos="170"/>
        </w:tabs>
        <w:ind w:left="170" w:hanging="170"/>
      </w:pPr>
      <w:rPr>
        <w:rFonts w:ascii="Symbol" w:hAnsi="Symbol" w:cs="Symbol" w:hint="default"/>
        <w:color w:val="4F81BD" w:themeColor="accent1"/>
      </w:rPr>
    </w:lvl>
    <w:lvl w:ilvl="1">
      <w:start w:val="1"/>
      <w:numFmt w:val="bullet"/>
      <w:pStyle w:val="TableBullet2"/>
      <w:lvlText w:val="–"/>
      <w:lvlJc w:val="left"/>
      <w:pPr>
        <w:tabs>
          <w:tab w:val="num" w:pos="340"/>
        </w:tabs>
        <w:ind w:left="340" w:hanging="170"/>
      </w:pPr>
      <w:rPr>
        <w:rFonts w:hint="default"/>
        <w:color w:val="4F81BD" w:themeColor="accent1"/>
      </w:rPr>
    </w:lvl>
    <w:lvl w:ilvl="2">
      <w:start w:val="1"/>
      <w:numFmt w:val="bullet"/>
      <w:pStyle w:val="TableBullet3"/>
      <w:lvlText w:val="–"/>
      <w:lvlJc w:val="left"/>
      <w:pPr>
        <w:tabs>
          <w:tab w:val="num" w:pos="510"/>
        </w:tabs>
        <w:ind w:left="510" w:hanging="170"/>
      </w:pPr>
      <w:rPr>
        <w:rFonts w:hint="default"/>
        <w:color w:val="4F81BD"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42" w15:restartNumberingAfterBreak="0">
    <w:nsid w:val="705365CE"/>
    <w:multiLevelType w:val="multilevel"/>
    <w:tmpl w:val="D19E4C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3560377"/>
    <w:multiLevelType w:val="hybridMultilevel"/>
    <w:tmpl w:val="B1B4C4B0"/>
    <w:lvl w:ilvl="0" w:tplc="1CC8AD82">
      <w:start w:val="1"/>
      <w:numFmt w:val="decimal"/>
      <w:lvlText w:val="%1."/>
      <w:lvlJc w:val="right"/>
      <w:pPr>
        <w:ind w:left="720" w:hanging="360"/>
      </w:pPr>
      <w:rPr>
        <w:rFonts w:hint="default"/>
        <w:b/>
        <w:color w:val="0070C0"/>
        <w:sz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74F6519"/>
    <w:multiLevelType w:val="hybridMultilevel"/>
    <w:tmpl w:val="82A6ABE4"/>
    <w:lvl w:ilvl="0" w:tplc="B22CBC5C">
      <w:start w:val="1"/>
      <w:numFmt w:val="bullet"/>
      <w:lvlText w:val=""/>
      <w:lvlJc w:val="left"/>
      <w:pPr>
        <w:ind w:left="720" w:hanging="360"/>
      </w:pPr>
      <w:rPr>
        <w:rFonts w:ascii="Symbol" w:hAnsi="Symbol" w:hint="default"/>
        <w:color w:val="4F81BD" w:themeColor="accen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C4653FE"/>
    <w:multiLevelType w:val="hybridMultilevel"/>
    <w:tmpl w:val="7A6E2930"/>
    <w:lvl w:ilvl="0" w:tplc="4009000B">
      <w:start w:val="1"/>
      <w:numFmt w:val="bullet"/>
      <w:lvlText w:val=""/>
      <w:lvlJc w:val="left"/>
      <w:pPr>
        <w:ind w:left="1440" w:hanging="360"/>
      </w:pPr>
      <w:rPr>
        <w:rFonts w:ascii="Wingdings" w:hAnsi="Wingdings" w:cs="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7F8566C3"/>
    <w:multiLevelType w:val="hybridMultilevel"/>
    <w:tmpl w:val="29146B5A"/>
    <w:lvl w:ilvl="0" w:tplc="C2E2002E">
      <w:numFmt w:val="bullet"/>
      <w:lvlText w:val="–"/>
      <w:lvlJc w:val="left"/>
      <w:pPr>
        <w:ind w:left="720" w:hanging="360"/>
      </w:pPr>
      <w:rPr>
        <w:rFonts w:ascii="Calibri" w:eastAsiaTheme="minorHAnsi" w:hAnsi="Calibri" w:cs="Calibri" w:hint="default"/>
        <w:b/>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383843">
    <w:abstractNumId w:val="43"/>
  </w:num>
  <w:num w:numId="2" w16cid:durableId="1451899138">
    <w:abstractNumId w:val="23"/>
  </w:num>
  <w:num w:numId="3" w16cid:durableId="257062673">
    <w:abstractNumId w:val="38"/>
  </w:num>
  <w:num w:numId="4" w16cid:durableId="2040469574">
    <w:abstractNumId w:val="7"/>
  </w:num>
  <w:num w:numId="5" w16cid:durableId="1544367143">
    <w:abstractNumId w:val="41"/>
  </w:num>
  <w:num w:numId="6" w16cid:durableId="592084548">
    <w:abstractNumId w:val="24"/>
  </w:num>
  <w:num w:numId="7" w16cid:durableId="663778244">
    <w:abstractNumId w:val="29"/>
  </w:num>
  <w:num w:numId="8" w16cid:durableId="2057699363">
    <w:abstractNumId w:val="45"/>
  </w:num>
  <w:num w:numId="9" w16cid:durableId="870387275">
    <w:abstractNumId w:val="8"/>
  </w:num>
  <w:num w:numId="10" w16cid:durableId="865479712">
    <w:abstractNumId w:val="2"/>
  </w:num>
  <w:num w:numId="11" w16cid:durableId="1894999464">
    <w:abstractNumId w:val="12"/>
  </w:num>
  <w:num w:numId="12" w16cid:durableId="203979753">
    <w:abstractNumId w:val="16"/>
  </w:num>
  <w:num w:numId="13" w16cid:durableId="429473787">
    <w:abstractNumId w:val="20"/>
  </w:num>
  <w:num w:numId="14" w16cid:durableId="144205522">
    <w:abstractNumId w:val="36"/>
  </w:num>
  <w:num w:numId="15" w16cid:durableId="1455052925">
    <w:abstractNumId w:val="13"/>
  </w:num>
  <w:num w:numId="16" w16cid:durableId="1104764346">
    <w:abstractNumId w:val="44"/>
  </w:num>
  <w:num w:numId="17" w16cid:durableId="1372651665">
    <w:abstractNumId w:val="1"/>
  </w:num>
  <w:num w:numId="18" w16cid:durableId="18048740">
    <w:abstractNumId w:val="46"/>
  </w:num>
  <w:num w:numId="19" w16cid:durableId="1306201028">
    <w:abstractNumId w:val="31"/>
  </w:num>
  <w:num w:numId="20" w16cid:durableId="1130057026">
    <w:abstractNumId w:val="19"/>
  </w:num>
  <w:num w:numId="21" w16cid:durableId="1267537141">
    <w:abstractNumId w:val="15"/>
  </w:num>
  <w:num w:numId="22" w16cid:durableId="178855037">
    <w:abstractNumId w:val="18"/>
  </w:num>
  <w:num w:numId="23" w16cid:durableId="998538734">
    <w:abstractNumId w:val="6"/>
  </w:num>
  <w:num w:numId="24" w16cid:durableId="1726491234">
    <w:abstractNumId w:val="25"/>
  </w:num>
  <w:num w:numId="25" w16cid:durableId="1176191128">
    <w:abstractNumId w:val="35"/>
  </w:num>
  <w:num w:numId="26" w16cid:durableId="1778787903">
    <w:abstractNumId w:val="33"/>
  </w:num>
  <w:num w:numId="27" w16cid:durableId="1387140665">
    <w:abstractNumId w:val="30"/>
  </w:num>
  <w:num w:numId="28" w16cid:durableId="697199627">
    <w:abstractNumId w:val="32"/>
  </w:num>
  <w:num w:numId="29" w16cid:durableId="1568568803">
    <w:abstractNumId w:val="9"/>
  </w:num>
  <w:num w:numId="30" w16cid:durableId="101538245">
    <w:abstractNumId w:val="39"/>
  </w:num>
  <w:num w:numId="31" w16cid:durableId="720983909">
    <w:abstractNumId w:val="4"/>
  </w:num>
  <w:num w:numId="32" w16cid:durableId="582881108">
    <w:abstractNumId w:val="26"/>
  </w:num>
  <w:num w:numId="33" w16cid:durableId="1063985635">
    <w:abstractNumId w:val="37"/>
  </w:num>
  <w:num w:numId="34" w16cid:durableId="1992320514">
    <w:abstractNumId w:val="22"/>
  </w:num>
  <w:num w:numId="35" w16cid:durableId="417412874">
    <w:abstractNumId w:val="5"/>
  </w:num>
  <w:num w:numId="36" w16cid:durableId="372921136">
    <w:abstractNumId w:val="40"/>
  </w:num>
  <w:num w:numId="37" w16cid:durableId="697389850">
    <w:abstractNumId w:val="11"/>
  </w:num>
  <w:num w:numId="38" w16cid:durableId="186451484">
    <w:abstractNumId w:val="10"/>
  </w:num>
  <w:num w:numId="39" w16cid:durableId="1204950781">
    <w:abstractNumId w:val="3"/>
  </w:num>
  <w:num w:numId="40" w16cid:durableId="1687907795">
    <w:abstractNumId w:val="0"/>
  </w:num>
  <w:num w:numId="41" w16cid:durableId="1402093952">
    <w:abstractNumId w:val="14"/>
  </w:num>
  <w:num w:numId="42" w16cid:durableId="539393197">
    <w:abstractNumId w:val="17"/>
  </w:num>
  <w:num w:numId="43" w16cid:durableId="1085689073">
    <w:abstractNumId w:val="34"/>
  </w:num>
  <w:num w:numId="44" w16cid:durableId="424615730">
    <w:abstractNumId w:val="27"/>
  </w:num>
  <w:num w:numId="45" w16cid:durableId="2083721398">
    <w:abstractNumId w:val="21"/>
  </w:num>
  <w:num w:numId="46" w16cid:durableId="1431967149">
    <w:abstractNumId w:val="28"/>
  </w:num>
  <w:num w:numId="47" w16cid:durableId="213949511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D34"/>
    <w:rsid w:val="00002888"/>
    <w:rsid w:val="0001042A"/>
    <w:rsid w:val="000170D2"/>
    <w:rsid w:val="000178A7"/>
    <w:rsid w:val="00023331"/>
    <w:rsid w:val="0003686A"/>
    <w:rsid w:val="00037044"/>
    <w:rsid w:val="00040BA6"/>
    <w:rsid w:val="00074274"/>
    <w:rsid w:val="000B3B72"/>
    <w:rsid w:val="000C74A2"/>
    <w:rsid w:val="0010596C"/>
    <w:rsid w:val="00120E3A"/>
    <w:rsid w:val="00121744"/>
    <w:rsid w:val="00125714"/>
    <w:rsid w:val="00133F8F"/>
    <w:rsid w:val="00146366"/>
    <w:rsid w:val="001564AE"/>
    <w:rsid w:val="001610C8"/>
    <w:rsid w:val="00193B6B"/>
    <w:rsid w:val="0019434C"/>
    <w:rsid w:val="001A6D02"/>
    <w:rsid w:val="001B1C67"/>
    <w:rsid w:val="001B38C4"/>
    <w:rsid w:val="001C0526"/>
    <w:rsid w:val="001F09D1"/>
    <w:rsid w:val="00213764"/>
    <w:rsid w:val="00241B4D"/>
    <w:rsid w:val="00244CA1"/>
    <w:rsid w:val="00251D5D"/>
    <w:rsid w:val="00255A87"/>
    <w:rsid w:val="00256203"/>
    <w:rsid w:val="0027745E"/>
    <w:rsid w:val="00295685"/>
    <w:rsid w:val="002A314B"/>
    <w:rsid w:val="002B0AAF"/>
    <w:rsid w:val="002F1FD2"/>
    <w:rsid w:val="002F74A3"/>
    <w:rsid w:val="00320CE9"/>
    <w:rsid w:val="00322F87"/>
    <w:rsid w:val="003329C4"/>
    <w:rsid w:val="00335A6A"/>
    <w:rsid w:val="00345999"/>
    <w:rsid w:val="0036050C"/>
    <w:rsid w:val="00392A6A"/>
    <w:rsid w:val="003A697C"/>
    <w:rsid w:val="003B3E02"/>
    <w:rsid w:val="003C2D77"/>
    <w:rsid w:val="003C3EE8"/>
    <w:rsid w:val="003E6D34"/>
    <w:rsid w:val="004023A8"/>
    <w:rsid w:val="00422D9F"/>
    <w:rsid w:val="00424617"/>
    <w:rsid w:val="00437260"/>
    <w:rsid w:val="00484233"/>
    <w:rsid w:val="00485645"/>
    <w:rsid w:val="004873EA"/>
    <w:rsid w:val="004A4603"/>
    <w:rsid w:val="004C01C7"/>
    <w:rsid w:val="004D0153"/>
    <w:rsid w:val="004D35C1"/>
    <w:rsid w:val="004F6754"/>
    <w:rsid w:val="004F74A5"/>
    <w:rsid w:val="004F7D20"/>
    <w:rsid w:val="00521E0E"/>
    <w:rsid w:val="00532F99"/>
    <w:rsid w:val="005371AC"/>
    <w:rsid w:val="0054521E"/>
    <w:rsid w:val="00550E55"/>
    <w:rsid w:val="00557C56"/>
    <w:rsid w:val="00565EB0"/>
    <w:rsid w:val="005767D0"/>
    <w:rsid w:val="005A5B58"/>
    <w:rsid w:val="005C598F"/>
    <w:rsid w:val="005D6F10"/>
    <w:rsid w:val="005E495F"/>
    <w:rsid w:val="005F5706"/>
    <w:rsid w:val="00601646"/>
    <w:rsid w:val="00604DBA"/>
    <w:rsid w:val="006674F3"/>
    <w:rsid w:val="006829A5"/>
    <w:rsid w:val="006A29CA"/>
    <w:rsid w:val="006A6D04"/>
    <w:rsid w:val="006B3DF6"/>
    <w:rsid w:val="006C659D"/>
    <w:rsid w:val="006D1068"/>
    <w:rsid w:val="006E1C6C"/>
    <w:rsid w:val="00702D0B"/>
    <w:rsid w:val="00706242"/>
    <w:rsid w:val="00707636"/>
    <w:rsid w:val="00717F00"/>
    <w:rsid w:val="00723FCE"/>
    <w:rsid w:val="007247B3"/>
    <w:rsid w:val="00742C73"/>
    <w:rsid w:val="00751FB3"/>
    <w:rsid w:val="00762BCA"/>
    <w:rsid w:val="00775E5B"/>
    <w:rsid w:val="00775F99"/>
    <w:rsid w:val="00777B12"/>
    <w:rsid w:val="00780C16"/>
    <w:rsid w:val="00782120"/>
    <w:rsid w:val="00795807"/>
    <w:rsid w:val="00795C51"/>
    <w:rsid w:val="007A1DE0"/>
    <w:rsid w:val="007B42C6"/>
    <w:rsid w:val="007B4A5B"/>
    <w:rsid w:val="007C2B98"/>
    <w:rsid w:val="007D0F4D"/>
    <w:rsid w:val="007D437B"/>
    <w:rsid w:val="007D7F3D"/>
    <w:rsid w:val="007E6AB4"/>
    <w:rsid w:val="008074E9"/>
    <w:rsid w:val="00811F09"/>
    <w:rsid w:val="0081254F"/>
    <w:rsid w:val="0081492B"/>
    <w:rsid w:val="008161A4"/>
    <w:rsid w:val="00826984"/>
    <w:rsid w:val="008375DB"/>
    <w:rsid w:val="00843FAB"/>
    <w:rsid w:val="0084703C"/>
    <w:rsid w:val="008504EC"/>
    <w:rsid w:val="00851A05"/>
    <w:rsid w:val="00854AF1"/>
    <w:rsid w:val="008A0AFA"/>
    <w:rsid w:val="008B1F02"/>
    <w:rsid w:val="008C232B"/>
    <w:rsid w:val="008C2A57"/>
    <w:rsid w:val="008E32DB"/>
    <w:rsid w:val="008F2751"/>
    <w:rsid w:val="009008F9"/>
    <w:rsid w:val="0090263D"/>
    <w:rsid w:val="00904008"/>
    <w:rsid w:val="00914E1A"/>
    <w:rsid w:val="00924117"/>
    <w:rsid w:val="00926A19"/>
    <w:rsid w:val="0092747A"/>
    <w:rsid w:val="0095149B"/>
    <w:rsid w:val="00951D42"/>
    <w:rsid w:val="0095257C"/>
    <w:rsid w:val="00973C72"/>
    <w:rsid w:val="00975329"/>
    <w:rsid w:val="00980EA6"/>
    <w:rsid w:val="009858B5"/>
    <w:rsid w:val="00990FC7"/>
    <w:rsid w:val="00995038"/>
    <w:rsid w:val="009A3F77"/>
    <w:rsid w:val="009A4231"/>
    <w:rsid w:val="009B64A3"/>
    <w:rsid w:val="009D66D7"/>
    <w:rsid w:val="009F27F2"/>
    <w:rsid w:val="00A037E7"/>
    <w:rsid w:val="00A075CF"/>
    <w:rsid w:val="00A2766F"/>
    <w:rsid w:val="00A35FEA"/>
    <w:rsid w:val="00A36D62"/>
    <w:rsid w:val="00A75BEE"/>
    <w:rsid w:val="00A828AB"/>
    <w:rsid w:val="00A87637"/>
    <w:rsid w:val="00A951D7"/>
    <w:rsid w:val="00A9549B"/>
    <w:rsid w:val="00AA52E7"/>
    <w:rsid w:val="00AB05B3"/>
    <w:rsid w:val="00AD38EC"/>
    <w:rsid w:val="00AF678C"/>
    <w:rsid w:val="00B008C8"/>
    <w:rsid w:val="00B07DA5"/>
    <w:rsid w:val="00B15E62"/>
    <w:rsid w:val="00B404C6"/>
    <w:rsid w:val="00B43B6D"/>
    <w:rsid w:val="00B43F73"/>
    <w:rsid w:val="00B46A7C"/>
    <w:rsid w:val="00B66207"/>
    <w:rsid w:val="00B70830"/>
    <w:rsid w:val="00B73F3A"/>
    <w:rsid w:val="00B76D85"/>
    <w:rsid w:val="00B774C6"/>
    <w:rsid w:val="00B808C8"/>
    <w:rsid w:val="00B80B44"/>
    <w:rsid w:val="00B87D5F"/>
    <w:rsid w:val="00BA0814"/>
    <w:rsid w:val="00BA62B7"/>
    <w:rsid w:val="00BC16D7"/>
    <w:rsid w:val="00BD2168"/>
    <w:rsid w:val="00BD4896"/>
    <w:rsid w:val="00BD5B4A"/>
    <w:rsid w:val="00BE2259"/>
    <w:rsid w:val="00BF67E3"/>
    <w:rsid w:val="00C04293"/>
    <w:rsid w:val="00C07DC4"/>
    <w:rsid w:val="00C3166B"/>
    <w:rsid w:val="00C400A2"/>
    <w:rsid w:val="00C42D34"/>
    <w:rsid w:val="00C450C4"/>
    <w:rsid w:val="00C50BA0"/>
    <w:rsid w:val="00C51C7A"/>
    <w:rsid w:val="00C524CC"/>
    <w:rsid w:val="00C607AF"/>
    <w:rsid w:val="00C74C7A"/>
    <w:rsid w:val="00C74C8A"/>
    <w:rsid w:val="00C76960"/>
    <w:rsid w:val="00C820D5"/>
    <w:rsid w:val="00CB4DC7"/>
    <w:rsid w:val="00CC47EE"/>
    <w:rsid w:val="00CC7F3E"/>
    <w:rsid w:val="00CD164F"/>
    <w:rsid w:val="00CF073F"/>
    <w:rsid w:val="00D06548"/>
    <w:rsid w:val="00D167F4"/>
    <w:rsid w:val="00D56D75"/>
    <w:rsid w:val="00D6083E"/>
    <w:rsid w:val="00D61DAC"/>
    <w:rsid w:val="00D65727"/>
    <w:rsid w:val="00D8781F"/>
    <w:rsid w:val="00D9557C"/>
    <w:rsid w:val="00D96E1C"/>
    <w:rsid w:val="00DC6362"/>
    <w:rsid w:val="00DD08E0"/>
    <w:rsid w:val="00DD7F10"/>
    <w:rsid w:val="00DF038E"/>
    <w:rsid w:val="00DF2FCE"/>
    <w:rsid w:val="00E07165"/>
    <w:rsid w:val="00E178AB"/>
    <w:rsid w:val="00E32B4A"/>
    <w:rsid w:val="00E33746"/>
    <w:rsid w:val="00E348B5"/>
    <w:rsid w:val="00E40506"/>
    <w:rsid w:val="00E4109D"/>
    <w:rsid w:val="00E65B33"/>
    <w:rsid w:val="00E72F96"/>
    <w:rsid w:val="00E736BC"/>
    <w:rsid w:val="00E77409"/>
    <w:rsid w:val="00E81E06"/>
    <w:rsid w:val="00E824BC"/>
    <w:rsid w:val="00E82CB0"/>
    <w:rsid w:val="00EA1004"/>
    <w:rsid w:val="00EA5FBC"/>
    <w:rsid w:val="00EA668E"/>
    <w:rsid w:val="00EC474A"/>
    <w:rsid w:val="00ED01C7"/>
    <w:rsid w:val="00F143D5"/>
    <w:rsid w:val="00F22148"/>
    <w:rsid w:val="00F22B6D"/>
    <w:rsid w:val="00F26FB1"/>
    <w:rsid w:val="00F34497"/>
    <w:rsid w:val="00F35373"/>
    <w:rsid w:val="00F6492C"/>
    <w:rsid w:val="00F751C9"/>
    <w:rsid w:val="00F862F1"/>
    <w:rsid w:val="00FA6BF8"/>
    <w:rsid w:val="00FC0FF8"/>
    <w:rsid w:val="00FC506C"/>
    <w:rsid w:val="00FD19A4"/>
    <w:rsid w:val="00FE5721"/>
    <w:rsid w:val="00FF34FC"/>
    <w:rsid w:val="00FF7942"/>
    <w:rsid w:val="00FF7E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F6413"/>
  <w15:chartTrackingRefBased/>
  <w15:docId w15:val="{7EFD7BAD-F206-4101-A334-08B9ABEC8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66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C636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C0FF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6D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6D34"/>
  </w:style>
  <w:style w:type="paragraph" w:styleId="Footer">
    <w:name w:val="footer"/>
    <w:basedOn w:val="Normal"/>
    <w:link w:val="FooterChar"/>
    <w:uiPriority w:val="99"/>
    <w:unhideWhenUsed/>
    <w:rsid w:val="003E6D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6D34"/>
  </w:style>
  <w:style w:type="paragraph" w:customStyle="1" w:styleId="BasicParagraph">
    <w:name w:val="[Basic Paragraph]"/>
    <w:basedOn w:val="Normal"/>
    <w:uiPriority w:val="99"/>
    <w:rsid w:val="003E6D34"/>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body">
    <w:name w:val="body"/>
    <w:basedOn w:val="Normal"/>
    <w:uiPriority w:val="99"/>
    <w:rsid w:val="003E6D34"/>
    <w:pPr>
      <w:suppressAutoHyphens/>
      <w:autoSpaceDE w:val="0"/>
      <w:autoSpaceDN w:val="0"/>
      <w:adjustRightInd w:val="0"/>
      <w:spacing w:after="0" w:line="288" w:lineRule="auto"/>
      <w:jc w:val="both"/>
      <w:textAlignment w:val="center"/>
    </w:pPr>
    <w:rPr>
      <w:rFonts w:ascii="Minion Pro" w:hAnsi="Minion Pro" w:cs="Minion Pro"/>
      <w:color w:val="000000"/>
      <w:sz w:val="24"/>
      <w:szCs w:val="24"/>
    </w:rPr>
  </w:style>
  <w:style w:type="paragraph" w:customStyle="1" w:styleId="subhead">
    <w:name w:val="subhead"/>
    <w:basedOn w:val="Normal"/>
    <w:uiPriority w:val="99"/>
    <w:rsid w:val="003E6D34"/>
    <w:pPr>
      <w:suppressAutoHyphens/>
      <w:autoSpaceDE w:val="0"/>
      <w:autoSpaceDN w:val="0"/>
      <w:adjustRightInd w:val="0"/>
      <w:spacing w:after="0" w:line="288" w:lineRule="auto"/>
      <w:jc w:val="both"/>
      <w:textAlignment w:val="center"/>
    </w:pPr>
    <w:rPr>
      <w:rFonts w:ascii="Minion Pro" w:hAnsi="Minion Pro" w:cs="Minion Pro"/>
      <w:b/>
      <w:bCs/>
      <w:color w:val="0076BC"/>
      <w:sz w:val="28"/>
      <w:szCs w:val="28"/>
    </w:rPr>
  </w:style>
  <w:style w:type="character" w:customStyle="1" w:styleId="Heading1Char">
    <w:name w:val="Heading 1 Char"/>
    <w:basedOn w:val="DefaultParagraphFont"/>
    <w:link w:val="Heading1"/>
    <w:uiPriority w:val="9"/>
    <w:rsid w:val="00A2766F"/>
    <w:rPr>
      <w:rFonts w:asciiTheme="majorHAnsi" w:eastAsiaTheme="majorEastAsia" w:hAnsiTheme="majorHAnsi" w:cstheme="majorBidi"/>
      <w:color w:val="365F91" w:themeColor="accent1" w:themeShade="BF"/>
      <w:sz w:val="32"/>
      <w:szCs w:val="32"/>
    </w:rPr>
  </w:style>
  <w:style w:type="paragraph" w:customStyle="1" w:styleId="Default">
    <w:name w:val="Default"/>
    <w:qFormat/>
    <w:rsid w:val="0081254F"/>
    <w:pPr>
      <w:autoSpaceDE w:val="0"/>
      <w:autoSpaceDN w:val="0"/>
      <w:adjustRightInd w:val="0"/>
      <w:spacing w:after="0" w:line="240" w:lineRule="auto"/>
    </w:pPr>
    <w:rPr>
      <w:rFonts w:ascii="Segoe UI" w:hAnsi="Segoe UI" w:cs="Segoe UI"/>
      <w:color w:val="000000"/>
      <w:sz w:val="24"/>
      <w:szCs w:val="24"/>
      <w:lang w:val="en-IN"/>
    </w:rPr>
  </w:style>
  <w:style w:type="paragraph" w:styleId="TOCHeading">
    <w:name w:val="TOC Heading"/>
    <w:basedOn w:val="Heading1"/>
    <w:next w:val="Normal"/>
    <w:uiPriority w:val="39"/>
    <w:unhideWhenUsed/>
    <w:qFormat/>
    <w:rsid w:val="00E178AB"/>
    <w:pPr>
      <w:spacing w:line="259" w:lineRule="auto"/>
      <w:outlineLvl w:val="9"/>
    </w:pPr>
    <w:rPr>
      <w:lang w:val="en-US"/>
    </w:rPr>
  </w:style>
  <w:style w:type="character" w:styleId="IntenseReference">
    <w:name w:val="Intense Reference"/>
    <w:basedOn w:val="DefaultParagraphFont"/>
    <w:uiPriority w:val="32"/>
    <w:qFormat/>
    <w:rsid w:val="00F22148"/>
    <w:rPr>
      <w:b/>
      <w:bCs/>
      <w:smallCaps/>
      <w:color w:val="4F81BD" w:themeColor="accent1"/>
      <w:spacing w:val="5"/>
    </w:rPr>
  </w:style>
  <w:style w:type="paragraph" w:styleId="ListParagraph">
    <w:name w:val="List Paragraph"/>
    <w:aliases w:val="Bullet List,Feature Points,List Paragraph1,b1,List Paragraph Char Char,Normal Sentence,Number_1,new,SGLText List Paragraph,Colorful List - Accent 11,List Paragraph11,List Paragraph2,ListPar1,list1,b1 + Justified,Bullet 1,lp1,Amex_bullet"/>
    <w:basedOn w:val="Normal"/>
    <w:link w:val="ListParagraphChar"/>
    <w:uiPriority w:val="34"/>
    <w:qFormat/>
    <w:rsid w:val="00023331"/>
    <w:pPr>
      <w:spacing w:after="160" w:line="259" w:lineRule="auto"/>
      <w:ind w:left="720"/>
      <w:contextualSpacing/>
    </w:pPr>
    <w:rPr>
      <w:lang w:val="en-IN"/>
    </w:rPr>
  </w:style>
  <w:style w:type="character" w:customStyle="1" w:styleId="ListParagraphChar">
    <w:name w:val="List Paragraph Char"/>
    <w:aliases w:val="Bullet List Char,Feature Points Char,List Paragraph1 Char,b1 Char,List Paragraph Char Char Char,Normal Sentence Char,Number_1 Char,new Char,SGLText List Paragraph Char,Colorful List - Accent 11 Char,List Paragraph11 Char,list1 Char"/>
    <w:basedOn w:val="DefaultParagraphFont"/>
    <w:link w:val="ListParagraph"/>
    <w:uiPriority w:val="34"/>
    <w:qFormat/>
    <w:locked/>
    <w:rsid w:val="00023331"/>
    <w:rPr>
      <w:lang w:val="en-IN"/>
    </w:rPr>
  </w:style>
  <w:style w:type="paragraph" w:styleId="NoSpacing">
    <w:name w:val="No Spacing"/>
    <w:aliases w:val="~BaseStyle"/>
    <w:link w:val="NoSpacingChar"/>
    <w:uiPriority w:val="1"/>
    <w:qFormat/>
    <w:rsid w:val="00023331"/>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aliases w:val="~BaseStyle Char"/>
    <w:link w:val="NoSpacing"/>
    <w:uiPriority w:val="1"/>
    <w:rsid w:val="00023331"/>
    <w:rPr>
      <w:rFonts w:ascii="Times New Roman" w:eastAsia="Times New Roman" w:hAnsi="Times New Roman" w:cs="Times New Roman"/>
      <w:sz w:val="24"/>
      <w:szCs w:val="24"/>
      <w:lang w:val="en-US"/>
    </w:rPr>
  </w:style>
  <w:style w:type="paragraph" w:styleId="TOC1">
    <w:name w:val="toc 1"/>
    <w:basedOn w:val="Normal"/>
    <w:next w:val="Normal"/>
    <w:autoRedefine/>
    <w:uiPriority w:val="39"/>
    <w:unhideWhenUsed/>
    <w:rsid w:val="00345999"/>
    <w:pPr>
      <w:spacing w:after="100"/>
    </w:pPr>
  </w:style>
  <w:style w:type="character" w:styleId="Hyperlink">
    <w:name w:val="Hyperlink"/>
    <w:basedOn w:val="DefaultParagraphFont"/>
    <w:uiPriority w:val="99"/>
    <w:unhideWhenUsed/>
    <w:rsid w:val="00345999"/>
    <w:rPr>
      <w:color w:val="0000FF" w:themeColor="hyperlink"/>
      <w:u w:val="single"/>
    </w:rPr>
  </w:style>
  <w:style w:type="character" w:styleId="BookTitle">
    <w:name w:val="Book Title"/>
    <w:basedOn w:val="DefaultParagraphFont"/>
    <w:uiPriority w:val="33"/>
    <w:qFormat/>
    <w:rsid w:val="00DC6362"/>
    <w:rPr>
      <w:b/>
      <w:bCs/>
      <w:i/>
      <w:iCs/>
      <w:spacing w:val="5"/>
    </w:rPr>
  </w:style>
  <w:style w:type="paragraph" w:customStyle="1" w:styleId="TableBullet1">
    <w:name w:val="~TableBullet1"/>
    <w:basedOn w:val="Normal"/>
    <w:uiPriority w:val="31"/>
    <w:rsid w:val="00DC6362"/>
    <w:pPr>
      <w:numPr>
        <w:numId w:val="5"/>
      </w:numPr>
      <w:spacing w:before="40" w:after="40" w:line="252" w:lineRule="auto"/>
    </w:pPr>
    <w:rPr>
      <w:rFonts w:eastAsia="Calibri"/>
      <w:color w:val="000000" w:themeColor="text1"/>
      <w:sz w:val="20"/>
    </w:rPr>
  </w:style>
  <w:style w:type="paragraph" w:customStyle="1" w:styleId="TableBullet2">
    <w:name w:val="~TableBullet2"/>
    <w:basedOn w:val="Normal"/>
    <w:uiPriority w:val="31"/>
    <w:rsid w:val="00DC6362"/>
    <w:pPr>
      <w:numPr>
        <w:ilvl w:val="1"/>
        <w:numId w:val="5"/>
      </w:numPr>
      <w:spacing w:before="40" w:after="40" w:line="252" w:lineRule="auto"/>
    </w:pPr>
    <w:rPr>
      <w:color w:val="000000" w:themeColor="text1"/>
      <w:sz w:val="20"/>
    </w:rPr>
  </w:style>
  <w:style w:type="paragraph" w:customStyle="1" w:styleId="TableBullet3">
    <w:name w:val="~TableBullet3"/>
    <w:basedOn w:val="Normal"/>
    <w:uiPriority w:val="31"/>
    <w:rsid w:val="00DC6362"/>
    <w:pPr>
      <w:numPr>
        <w:ilvl w:val="2"/>
        <w:numId w:val="5"/>
      </w:numPr>
      <w:spacing w:before="40" w:after="40" w:line="252" w:lineRule="auto"/>
    </w:pPr>
    <w:rPr>
      <w:color w:val="000000" w:themeColor="text1"/>
      <w:sz w:val="20"/>
    </w:rPr>
  </w:style>
  <w:style w:type="table" w:customStyle="1" w:styleId="TableGrid1">
    <w:name w:val="Table Grid1"/>
    <w:basedOn w:val="TableNormal"/>
    <w:uiPriority w:val="59"/>
    <w:rsid w:val="00DC6362"/>
    <w:pPr>
      <w:spacing w:before="240" w:after="240" w:line="240" w:lineRule="auto"/>
    </w:pPr>
    <w:rPr>
      <w:rFonts w:eastAsiaTheme="minorEastAsia"/>
      <w:color w:val="000000" w:themeColor="tex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C6362"/>
    <w:rPr>
      <w:rFonts w:asciiTheme="majorHAnsi" w:eastAsiaTheme="majorEastAsia" w:hAnsiTheme="majorHAnsi" w:cstheme="majorBidi"/>
      <w:color w:val="365F91" w:themeColor="accent1" w:themeShade="BF"/>
      <w:sz w:val="26"/>
      <w:szCs w:val="26"/>
    </w:rPr>
  </w:style>
  <w:style w:type="paragraph" w:customStyle="1" w:styleId="Bullet1">
    <w:name w:val="~Bullet1"/>
    <w:basedOn w:val="Normal"/>
    <w:qFormat/>
    <w:rsid w:val="00335A6A"/>
    <w:pPr>
      <w:numPr>
        <w:numId w:val="19"/>
      </w:numPr>
      <w:spacing w:before="60" w:after="60" w:line="300" w:lineRule="auto"/>
    </w:pPr>
    <w:rPr>
      <w:rFonts w:eastAsia="Calibri"/>
      <w:color w:val="000000" w:themeColor="text1"/>
    </w:rPr>
  </w:style>
  <w:style w:type="paragraph" w:customStyle="1" w:styleId="Bullet2">
    <w:name w:val="~Bullet2"/>
    <w:basedOn w:val="Normal"/>
    <w:rsid w:val="00335A6A"/>
    <w:pPr>
      <w:numPr>
        <w:ilvl w:val="1"/>
        <w:numId w:val="19"/>
      </w:numPr>
      <w:spacing w:before="60" w:after="60" w:line="300" w:lineRule="auto"/>
    </w:pPr>
    <w:rPr>
      <w:color w:val="000000" w:themeColor="text1"/>
    </w:rPr>
  </w:style>
  <w:style w:type="paragraph" w:customStyle="1" w:styleId="Bullet3">
    <w:name w:val="~Bullet3"/>
    <w:basedOn w:val="Normal"/>
    <w:rsid w:val="00335A6A"/>
    <w:pPr>
      <w:numPr>
        <w:ilvl w:val="2"/>
        <w:numId w:val="19"/>
      </w:numPr>
      <w:spacing w:before="60" w:after="60" w:line="300" w:lineRule="auto"/>
    </w:pPr>
    <w:rPr>
      <w:color w:val="000000" w:themeColor="text1"/>
    </w:rPr>
  </w:style>
  <w:style w:type="table" w:styleId="TableGrid">
    <w:name w:val="Table Grid"/>
    <w:basedOn w:val="TableNormal"/>
    <w:uiPriority w:val="59"/>
    <w:rsid w:val="00335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335A6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BodyText">
    <w:name w:val="Body Text"/>
    <w:basedOn w:val="Normal"/>
    <w:link w:val="BodyTextChar"/>
    <w:uiPriority w:val="1"/>
    <w:qFormat/>
    <w:rsid w:val="006A6D04"/>
    <w:pPr>
      <w:spacing w:after="120" w:line="240" w:lineRule="auto"/>
      <w:jc w:val="both"/>
    </w:pPr>
    <w:rPr>
      <w:rFonts w:ascii="Calibri" w:eastAsia="Times New Roman" w:hAnsi="Calibri" w:cs="Calibri"/>
      <w:szCs w:val="20"/>
      <w:lang w:val="en-US"/>
    </w:rPr>
  </w:style>
  <w:style w:type="character" w:customStyle="1" w:styleId="BodyTextChar">
    <w:name w:val="Body Text Char"/>
    <w:basedOn w:val="DefaultParagraphFont"/>
    <w:link w:val="BodyText"/>
    <w:uiPriority w:val="1"/>
    <w:rsid w:val="006A6D04"/>
    <w:rPr>
      <w:rFonts w:ascii="Calibri" w:eastAsia="Times New Roman" w:hAnsi="Calibri" w:cs="Calibri"/>
      <w:szCs w:val="20"/>
      <w:lang w:val="en-US"/>
    </w:rPr>
  </w:style>
  <w:style w:type="character" w:styleId="Emphasis">
    <w:name w:val="Emphasis"/>
    <w:basedOn w:val="DefaultParagraphFont"/>
    <w:uiPriority w:val="20"/>
    <w:qFormat/>
    <w:rsid w:val="006A6D04"/>
    <w:rPr>
      <w:rFonts w:cs="Times New Roman"/>
      <w:b/>
      <w:bCs/>
      <w:smallCaps/>
      <w:color w:val="5A5A5A"/>
      <w:spacing w:val="20"/>
      <w:kern w:val="0"/>
      <w:vertAlign w:val="baseline"/>
    </w:rPr>
  </w:style>
  <w:style w:type="paragraph" w:customStyle="1" w:styleId="yiv3323280430ydp9127adfamsolistparagraph">
    <w:name w:val="yiv3323280430ydp9127adfamsolistparagraph"/>
    <w:basedOn w:val="Normal"/>
    <w:rsid w:val="006A6D0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TOC2">
    <w:name w:val="toc 2"/>
    <w:basedOn w:val="Normal"/>
    <w:next w:val="Normal"/>
    <w:autoRedefine/>
    <w:uiPriority w:val="39"/>
    <w:unhideWhenUsed/>
    <w:rsid w:val="00E77409"/>
    <w:pPr>
      <w:spacing w:after="100"/>
      <w:ind w:left="220"/>
    </w:pPr>
  </w:style>
  <w:style w:type="paragraph" w:customStyle="1" w:styleId="content">
    <w:name w:val="content"/>
    <w:basedOn w:val="Normal"/>
    <w:rsid w:val="00BC16D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FC0FF8"/>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C07DC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38084">
      <w:bodyDiv w:val="1"/>
      <w:marLeft w:val="0"/>
      <w:marRight w:val="0"/>
      <w:marTop w:val="0"/>
      <w:marBottom w:val="0"/>
      <w:divBdr>
        <w:top w:val="none" w:sz="0" w:space="0" w:color="auto"/>
        <w:left w:val="none" w:sz="0" w:space="0" w:color="auto"/>
        <w:bottom w:val="none" w:sz="0" w:space="0" w:color="auto"/>
        <w:right w:val="none" w:sz="0" w:space="0" w:color="auto"/>
      </w:divBdr>
    </w:div>
    <w:div w:id="314183096">
      <w:bodyDiv w:val="1"/>
      <w:marLeft w:val="0"/>
      <w:marRight w:val="0"/>
      <w:marTop w:val="0"/>
      <w:marBottom w:val="0"/>
      <w:divBdr>
        <w:top w:val="none" w:sz="0" w:space="0" w:color="auto"/>
        <w:left w:val="none" w:sz="0" w:space="0" w:color="auto"/>
        <w:bottom w:val="none" w:sz="0" w:space="0" w:color="auto"/>
        <w:right w:val="none" w:sz="0" w:space="0" w:color="auto"/>
      </w:divBdr>
      <w:divsChild>
        <w:div w:id="485633647">
          <w:marLeft w:val="288"/>
          <w:marRight w:val="0"/>
          <w:marTop w:val="60"/>
          <w:marBottom w:val="60"/>
          <w:divBdr>
            <w:top w:val="none" w:sz="0" w:space="0" w:color="auto"/>
            <w:left w:val="none" w:sz="0" w:space="0" w:color="auto"/>
            <w:bottom w:val="none" w:sz="0" w:space="0" w:color="auto"/>
            <w:right w:val="none" w:sz="0" w:space="0" w:color="auto"/>
          </w:divBdr>
        </w:div>
        <w:div w:id="469787832">
          <w:marLeft w:val="288"/>
          <w:marRight w:val="0"/>
          <w:marTop w:val="60"/>
          <w:marBottom w:val="60"/>
          <w:divBdr>
            <w:top w:val="none" w:sz="0" w:space="0" w:color="auto"/>
            <w:left w:val="none" w:sz="0" w:space="0" w:color="auto"/>
            <w:bottom w:val="none" w:sz="0" w:space="0" w:color="auto"/>
            <w:right w:val="none" w:sz="0" w:space="0" w:color="auto"/>
          </w:divBdr>
        </w:div>
        <w:div w:id="1889412644">
          <w:marLeft w:val="288"/>
          <w:marRight w:val="0"/>
          <w:marTop w:val="60"/>
          <w:marBottom w:val="60"/>
          <w:divBdr>
            <w:top w:val="none" w:sz="0" w:space="0" w:color="auto"/>
            <w:left w:val="none" w:sz="0" w:space="0" w:color="auto"/>
            <w:bottom w:val="none" w:sz="0" w:space="0" w:color="auto"/>
            <w:right w:val="none" w:sz="0" w:space="0" w:color="auto"/>
          </w:divBdr>
        </w:div>
        <w:div w:id="1627737324">
          <w:marLeft w:val="288"/>
          <w:marRight w:val="0"/>
          <w:marTop w:val="60"/>
          <w:marBottom w:val="60"/>
          <w:divBdr>
            <w:top w:val="none" w:sz="0" w:space="0" w:color="auto"/>
            <w:left w:val="none" w:sz="0" w:space="0" w:color="auto"/>
            <w:bottom w:val="none" w:sz="0" w:space="0" w:color="auto"/>
            <w:right w:val="none" w:sz="0" w:space="0" w:color="auto"/>
          </w:divBdr>
        </w:div>
      </w:divsChild>
    </w:div>
    <w:div w:id="655300735">
      <w:bodyDiv w:val="1"/>
      <w:marLeft w:val="0"/>
      <w:marRight w:val="0"/>
      <w:marTop w:val="0"/>
      <w:marBottom w:val="0"/>
      <w:divBdr>
        <w:top w:val="none" w:sz="0" w:space="0" w:color="auto"/>
        <w:left w:val="none" w:sz="0" w:space="0" w:color="auto"/>
        <w:bottom w:val="none" w:sz="0" w:space="0" w:color="auto"/>
        <w:right w:val="none" w:sz="0" w:space="0" w:color="auto"/>
      </w:divBdr>
    </w:div>
    <w:div w:id="1092972242">
      <w:bodyDiv w:val="1"/>
      <w:marLeft w:val="0"/>
      <w:marRight w:val="0"/>
      <w:marTop w:val="0"/>
      <w:marBottom w:val="0"/>
      <w:divBdr>
        <w:top w:val="none" w:sz="0" w:space="0" w:color="auto"/>
        <w:left w:val="none" w:sz="0" w:space="0" w:color="auto"/>
        <w:bottom w:val="none" w:sz="0" w:space="0" w:color="auto"/>
        <w:right w:val="none" w:sz="0" w:space="0" w:color="auto"/>
      </w:divBdr>
    </w:div>
    <w:div w:id="1381512656">
      <w:bodyDiv w:val="1"/>
      <w:marLeft w:val="0"/>
      <w:marRight w:val="0"/>
      <w:marTop w:val="0"/>
      <w:marBottom w:val="0"/>
      <w:divBdr>
        <w:top w:val="none" w:sz="0" w:space="0" w:color="auto"/>
        <w:left w:val="none" w:sz="0" w:space="0" w:color="auto"/>
        <w:bottom w:val="none" w:sz="0" w:space="0" w:color="auto"/>
        <w:right w:val="none" w:sz="0" w:space="0" w:color="auto"/>
      </w:divBdr>
    </w:div>
    <w:div w:id="1525023976">
      <w:bodyDiv w:val="1"/>
      <w:marLeft w:val="0"/>
      <w:marRight w:val="0"/>
      <w:marTop w:val="0"/>
      <w:marBottom w:val="0"/>
      <w:divBdr>
        <w:top w:val="none" w:sz="0" w:space="0" w:color="auto"/>
        <w:left w:val="none" w:sz="0" w:space="0" w:color="auto"/>
        <w:bottom w:val="none" w:sz="0" w:space="0" w:color="auto"/>
        <w:right w:val="none" w:sz="0" w:space="0" w:color="auto"/>
      </w:divBdr>
    </w:div>
    <w:div w:id="1567106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30.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9C701-F824-4A8F-9495-F30BF7EF9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Samir Chaudhury</cp:lastModifiedBy>
  <cp:revision>2</cp:revision>
  <dcterms:created xsi:type="dcterms:W3CDTF">2026-02-06T13:59:00Z</dcterms:created>
  <dcterms:modified xsi:type="dcterms:W3CDTF">2026-02-06T13:59:00Z</dcterms:modified>
</cp:coreProperties>
</file>