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DBB" w:rsidRDefault="009F4DBB">
      <w:pPr>
        <w:pStyle w:val="Header"/>
        <w:tabs>
          <w:tab w:val="clear" w:pos="4153"/>
          <w:tab w:val="clear" w:pos="8306"/>
        </w:tabs>
      </w:pPr>
    </w:p>
    <w:p w:rsidR="009F4DBB" w:rsidRDefault="009F4DBB">
      <w:pPr>
        <w:pStyle w:val="Heading1"/>
        <w:rPr>
          <w:b/>
          <w:bCs/>
        </w:rPr>
      </w:pPr>
      <w:r>
        <w:rPr>
          <w:b/>
          <w:bCs/>
        </w:rPr>
        <w:t xml:space="preserve">Publications with </w:t>
      </w:r>
      <w:r w:rsidR="00F74B9F">
        <w:rPr>
          <w:b/>
          <w:bCs/>
        </w:rPr>
        <w:t>R4TLI</w:t>
      </w:r>
      <w:r>
        <w:rPr>
          <w:b/>
          <w:bCs/>
        </w:rPr>
        <w:t xml:space="preserve"> – Instructions to Authors</w:t>
      </w:r>
    </w:p>
    <w:p w:rsidR="009F4DBB" w:rsidRDefault="009F4DBB">
      <w:pPr>
        <w:jc w:val="both"/>
      </w:pPr>
    </w:p>
    <w:p w:rsidR="009F4DBB" w:rsidRDefault="005E3D08">
      <w:pPr>
        <w:pStyle w:val="Heading3"/>
        <w:rPr>
          <w:b/>
          <w:bCs/>
          <w:sz w:val="24"/>
        </w:rPr>
      </w:pPr>
      <w:r>
        <w:rPr>
          <w:b/>
          <w:bCs/>
          <w:sz w:val="24"/>
        </w:rPr>
        <w:t>S</w:t>
      </w:r>
      <w:r w:rsidR="00275CBB">
        <w:rPr>
          <w:b/>
          <w:bCs/>
          <w:sz w:val="24"/>
        </w:rPr>
        <w:t>usan</w:t>
      </w:r>
      <w:r w:rsidR="009F4DBB">
        <w:rPr>
          <w:b/>
          <w:bCs/>
          <w:sz w:val="24"/>
        </w:rPr>
        <w:t xml:space="preserve">. B. </w:t>
      </w:r>
      <w:proofErr w:type="spellStart"/>
      <w:r>
        <w:rPr>
          <w:b/>
          <w:bCs/>
          <w:sz w:val="24"/>
        </w:rPr>
        <w:t>Sumith</w:t>
      </w:r>
      <w:proofErr w:type="spellEnd"/>
      <w:r w:rsidR="00275CBB">
        <w:rPr>
          <w:b/>
          <w:bCs/>
          <w:sz w:val="24"/>
        </w:rPr>
        <w:t xml:space="preserve">, </w:t>
      </w:r>
      <w:proofErr w:type="spellStart"/>
      <w:r w:rsidR="00275CBB">
        <w:rPr>
          <w:b/>
          <w:bCs/>
          <w:sz w:val="24"/>
        </w:rPr>
        <w:t>Micheal.P.Bore</w:t>
      </w:r>
      <w:proofErr w:type="spellEnd"/>
      <w:r w:rsidR="00275CBB">
        <w:rPr>
          <w:b/>
          <w:bCs/>
          <w:sz w:val="24"/>
        </w:rPr>
        <w:t xml:space="preserve">, </w:t>
      </w:r>
      <w:proofErr w:type="spellStart"/>
      <w:r w:rsidR="00275CBB">
        <w:rPr>
          <w:b/>
          <w:bCs/>
          <w:sz w:val="24"/>
        </w:rPr>
        <w:t>Samuel.B.Corn</w:t>
      </w:r>
      <w:proofErr w:type="spellEnd"/>
      <w:r w:rsidR="00275CBB">
        <w:rPr>
          <w:b/>
          <w:bCs/>
          <w:sz w:val="24"/>
        </w:rPr>
        <w:t xml:space="preserve"> </w:t>
      </w:r>
    </w:p>
    <w:p w:rsidR="009F4DBB" w:rsidRDefault="009F4DBB">
      <w:pPr>
        <w:jc w:val="both"/>
      </w:pPr>
    </w:p>
    <w:p w:rsidR="009F4DBB" w:rsidRDefault="009F4DBB">
      <w:pPr>
        <w:jc w:val="both"/>
      </w:pPr>
      <w:r>
        <w:rPr>
          <w:b/>
          <w:bCs/>
        </w:rPr>
        <w:t>Abstract:</w:t>
      </w:r>
      <w:r>
        <w:tab/>
        <w:t xml:space="preserve">This guideline describes the requirements to be fulfilled by authors for </w:t>
      </w:r>
      <w:r w:rsidR="00FF2CB1">
        <w:t xml:space="preserve">preliminary </w:t>
      </w:r>
      <w:r>
        <w:t xml:space="preserve">consideration in publishing their articles </w:t>
      </w:r>
      <w:r w:rsidR="00FF2CB1">
        <w:t>with</w:t>
      </w:r>
      <w:r>
        <w:t xml:space="preserve"> </w:t>
      </w:r>
      <w:r w:rsidR="002D7A88" w:rsidRPr="002D7A88">
        <w:t>Research for Transport &amp; Logistics Industry</w:t>
      </w:r>
      <w:r>
        <w:t xml:space="preserve">. </w:t>
      </w:r>
      <w:r w:rsidR="0049031A">
        <w:t>A s</w:t>
      </w:r>
      <w:r>
        <w:t>oft</w:t>
      </w:r>
      <w:r w:rsidR="0049031A">
        <w:t xml:space="preserve"> copy</w:t>
      </w:r>
      <w:r>
        <w:t xml:space="preserve"> of this document could be obtained from the Institution website &lt;</w:t>
      </w:r>
      <w:hyperlink r:id="rId8" w:history="1">
        <w:r w:rsidR="00F74B9F" w:rsidRPr="00F74B9F">
          <w:rPr>
            <w:rStyle w:val="Hyperlink"/>
          </w:rPr>
          <w:t>www.ciltsl.com</w:t>
        </w:r>
      </w:hyperlink>
      <w:r>
        <w:t xml:space="preserve">&gt; or by e-mailing a request </w:t>
      </w:r>
      <w:r w:rsidRPr="006E559E">
        <w:t>to</w:t>
      </w:r>
      <w:r w:rsidR="006E559E">
        <w:t xml:space="preserve"> </w:t>
      </w:r>
      <w:hyperlink r:id="rId9" w:history="1">
        <w:r w:rsidR="006E559E" w:rsidRPr="00413B01">
          <w:rPr>
            <w:rStyle w:val="Hyperlink"/>
          </w:rPr>
          <w:t>kumarage@sltnet.lk</w:t>
        </w:r>
      </w:hyperlink>
      <w:r w:rsidRPr="006C39F6">
        <w:rPr>
          <w:color w:val="000000"/>
        </w:rPr>
        <w:t>,</w:t>
      </w:r>
      <w:r>
        <w:t xml:space="preserve"> to be used as a basic template in structuring </w:t>
      </w:r>
      <w:r w:rsidR="00FF2CB1">
        <w:t xml:space="preserve">the prospective </w:t>
      </w:r>
      <w:r>
        <w:t>articles.</w:t>
      </w:r>
    </w:p>
    <w:p w:rsidR="009F4DBB" w:rsidRDefault="009F4DBB">
      <w:pPr>
        <w:jc w:val="both"/>
      </w:pPr>
    </w:p>
    <w:p w:rsidR="009F4DBB" w:rsidRDefault="009F4DBB">
      <w:pPr>
        <w:jc w:val="both"/>
      </w:pPr>
      <w:r>
        <w:rPr>
          <w:b/>
          <w:bCs/>
        </w:rPr>
        <w:t>Keywords:</w:t>
      </w:r>
      <w:r>
        <w:tab/>
        <w:t xml:space="preserve">Guideline, </w:t>
      </w:r>
      <w:r w:rsidR="002D7A88">
        <w:t>Transport</w:t>
      </w:r>
      <w:r>
        <w:t>,</w:t>
      </w:r>
      <w:r w:rsidR="002D7A88">
        <w:t xml:space="preserve"> Logistics,</w:t>
      </w:r>
      <w:r>
        <w:t xml:space="preserve"> template</w:t>
      </w:r>
    </w:p>
    <w:p w:rsidR="009F4DBB" w:rsidRDefault="009F4DBB">
      <w:pPr>
        <w:pBdr>
          <w:bottom w:val="single" w:sz="4" w:space="1" w:color="auto"/>
        </w:pBdr>
        <w:jc w:val="both"/>
      </w:pPr>
    </w:p>
    <w:p w:rsidR="009F4DBB" w:rsidRDefault="009F4DBB">
      <w:pPr>
        <w:jc w:val="both"/>
      </w:pPr>
    </w:p>
    <w:p w:rsidR="009F4DBB" w:rsidRDefault="009F4DBB">
      <w:pPr>
        <w:jc w:val="both"/>
        <w:sectPr w:rsidR="009F4DBB">
          <w:headerReference w:type="default" r:id="rId10"/>
          <w:footerReference w:type="even" r:id="rId11"/>
          <w:footerReference w:type="default" r:id="rId12"/>
          <w:pgSz w:w="11908" w:h="16838" w:code="9"/>
          <w:pgMar w:top="1134" w:right="1134" w:bottom="1134" w:left="1134" w:header="720" w:footer="720" w:gutter="567"/>
          <w:cols w:space="708"/>
          <w:noEndnote/>
          <w:docGrid w:linePitch="272"/>
        </w:sectPr>
      </w:pPr>
    </w:p>
    <w:p w:rsidR="009F4DBB" w:rsidRDefault="009F4DBB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>1.</w:t>
      </w:r>
      <w:r>
        <w:rPr>
          <w:b/>
          <w:bCs/>
          <w:sz w:val="24"/>
        </w:rPr>
        <w:tab/>
        <w:t>Introduction</w:t>
      </w:r>
    </w:p>
    <w:p w:rsidR="009F4DBB" w:rsidRDefault="009F4DBB">
      <w:pPr>
        <w:pStyle w:val="BodyText"/>
      </w:pPr>
    </w:p>
    <w:p w:rsidR="009F4DBB" w:rsidRDefault="009F4DBB">
      <w:pPr>
        <w:pStyle w:val="BodyText"/>
      </w:pPr>
      <w:r>
        <w:t xml:space="preserve">This </w:t>
      </w:r>
      <w:r w:rsidR="003B393D">
        <w:t xml:space="preserve">paper </w:t>
      </w:r>
      <w:r>
        <w:t xml:space="preserve">is intended to serve the dual purpose of providing instructions to prospective authors and acting as a template for </w:t>
      </w:r>
      <w:r w:rsidR="003B393D">
        <w:t>structuring t</w:t>
      </w:r>
      <w:r>
        <w:t xml:space="preserve">he </w:t>
      </w:r>
      <w:r w:rsidR="003B393D">
        <w:t xml:space="preserve">intended </w:t>
      </w:r>
      <w:r>
        <w:t>papers in the required format.</w:t>
      </w:r>
      <w:r w:rsidR="00FF2CB1">
        <w:t xml:space="preserve"> Strict adherence to this format is a pre requisite for a paper to be considered.</w:t>
      </w:r>
    </w:p>
    <w:p w:rsidR="009F4DBB" w:rsidRDefault="009F4DBB">
      <w:pPr>
        <w:jc w:val="both"/>
      </w:pPr>
    </w:p>
    <w:p w:rsidR="009F4DBB" w:rsidRDefault="009F4DBB">
      <w:pPr>
        <w:pStyle w:val="Heading1"/>
        <w:jc w:val="both"/>
        <w:rPr>
          <w:b/>
          <w:bCs/>
          <w:sz w:val="24"/>
        </w:rPr>
      </w:pPr>
      <w:r>
        <w:rPr>
          <w:b/>
          <w:bCs/>
          <w:sz w:val="24"/>
        </w:rPr>
        <w:t>2.</w:t>
      </w:r>
      <w:r>
        <w:rPr>
          <w:b/>
          <w:bCs/>
          <w:sz w:val="24"/>
        </w:rPr>
        <w:tab/>
        <w:t>General Information</w:t>
      </w:r>
    </w:p>
    <w:p w:rsidR="009F4DBB" w:rsidRDefault="009F4DBB">
      <w:pPr>
        <w:ind w:left="-18" w:firstLine="18"/>
        <w:jc w:val="both"/>
      </w:pPr>
    </w:p>
    <w:p w:rsidR="002D7A88" w:rsidRDefault="009F4DBB" w:rsidP="009223FF">
      <w:pPr>
        <w:tabs>
          <w:tab w:val="num" w:pos="720"/>
        </w:tabs>
        <w:jc w:val="both"/>
      </w:pPr>
      <w:r>
        <w:t xml:space="preserve">The paper must be an </w:t>
      </w:r>
      <w:r w:rsidRPr="002D7A88">
        <w:rPr>
          <w:b/>
          <w:bCs/>
        </w:rPr>
        <w:t>Original</w:t>
      </w:r>
      <w:r>
        <w:t xml:space="preserve"> Technical Paper based on research by the author(s) </w:t>
      </w:r>
      <w:r w:rsidR="002D7A88" w:rsidRPr="002D7A88">
        <w:t>on topics of direct local relevance under the following areas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Airline Operations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Airport Planning and Operations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 xml:space="preserve">Consumer </w:t>
      </w:r>
      <w:r w:rsidR="009223FF">
        <w:t>&amp;</w:t>
      </w:r>
      <w:r>
        <w:t xml:space="preserve"> Demand Studies for Mobility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ERP Solutions for Transport &amp; Logistics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 xml:space="preserve">Economic Appraisal of </w:t>
      </w:r>
      <w:r w:rsidR="009223FF">
        <w:t>T&amp;L</w:t>
      </w:r>
      <w:r>
        <w:t xml:space="preserve"> Projects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Freight Transport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ICT Solutions for Transport &amp; Logistics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Intermodal Transport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Operations Management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Port Planning and Operations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Public Transport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Safety in Mobility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Shipping Operations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Supply Chain Management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Transport Planning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Transport Policy and Regulation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>Urban Transport Planning</w:t>
      </w:r>
    </w:p>
    <w:p w:rsidR="002D7A88" w:rsidRDefault="002D7A88" w:rsidP="00D741E9">
      <w:pPr>
        <w:numPr>
          <w:ilvl w:val="0"/>
          <w:numId w:val="5"/>
        </w:numPr>
        <w:jc w:val="both"/>
      </w:pPr>
      <w:r>
        <w:t xml:space="preserve">Warehousing </w:t>
      </w:r>
      <w:r w:rsidR="009223FF">
        <w:t>&amp;</w:t>
      </w:r>
      <w:r>
        <w:t xml:space="preserve"> Inventory Management </w:t>
      </w:r>
    </w:p>
    <w:p w:rsidR="009F4DBB" w:rsidRDefault="002D7A88" w:rsidP="00D741E9">
      <w:pPr>
        <w:ind w:left="288"/>
        <w:jc w:val="both"/>
      </w:pPr>
      <w:r w:rsidRPr="002D7A88" w:rsidDel="002D7A88">
        <w:t xml:space="preserve"> </w:t>
      </w:r>
    </w:p>
    <w:p w:rsidR="009F4DBB" w:rsidRDefault="009F4DBB" w:rsidP="009223FF">
      <w:pPr>
        <w:jc w:val="both"/>
      </w:pPr>
      <w:r>
        <w:t xml:space="preserve">On matters regarding publications, decision of the Editor in consultation with the Editorial Board shall be final. Manuscripts </w:t>
      </w:r>
      <w:r>
        <w:rPr>
          <w:b/>
          <w:bCs/>
        </w:rPr>
        <w:t>should not contain</w:t>
      </w:r>
      <w:r>
        <w:t xml:space="preserve"> any derogatory remark/s whatsoever about any person or organization.</w:t>
      </w:r>
    </w:p>
    <w:p w:rsidR="009F4DBB" w:rsidRDefault="009F4DBB" w:rsidP="000B2CA0">
      <w:pPr>
        <w:ind w:left="288" w:hanging="288"/>
        <w:jc w:val="both"/>
      </w:pPr>
    </w:p>
    <w:p w:rsidR="009F4DBB" w:rsidRDefault="009F4DBB" w:rsidP="000B2CA0">
      <w:pPr>
        <w:numPr>
          <w:ilvl w:val="0"/>
          <w:numId w:val="2"/>
        </w:numPr>
        <w:tabs>
          <w:tab w:val="clear" w:pos="720"/>
          <w:tab w:val="num" w:pos="-2070"/>
        </w:tabs>
        <w:ind w:left="288" w:hanging="288"/>
        <w:jc w:val="both"/>
      </w:pPr>
      <w:r>
        <w:t xml:space="preserve">Presentation of the paper should be in </w:t>
      </w:r>
      <w:r>
        <w:rPr>
          <w:b/>
          <w:bCs/>
        </w:rPr>
        <w:t>‘Third Person’</w:t>
      </w:r>
      <w:r w:rsidR="001E5375" w:rsidRPr="001E5375">
        <w:rPr>
          <w:bCs/>
        </w:rPr>
        <w:t>.</w:t>
      </w:r>
    </w:p>
    <w:p w:rsidR="009F4DBB" w:rsidRDefault="009F4DBB" w:rsidP="000B2CA0">
      <w:pPr>
        <w:ind w:left="288" w:hanging="288"/>
        <w:jc w:val="both"/>
      </w:pPr>
    </w:p>
    <w:p w:rsidR="009F4DBB" w:rsidRDefault="009F4DBB" w:rsidP="000B2CA0">
      <w:pPr>
        <w:numPr>
          <w:ilvl w:val="0"/>
          <w:numId w:val="2"/>
        </w:numPr>
        <w:tabs>
          <w:tab w:val="clear" w:pos="720"/>
          <w:tab w:val="num" w:pos="-2070"/>
        </w:tabs>
        <w:ind w:left="288" w:hanging="288"/>
        <w:jc w:val="both"/>
      </w:pPr>
      <w:r>
        <w:lastRenderedPageBreak/>
        <w:t xml:space="preserve">A representative abstract of </w:t>
      </w:r>
      <w:r>
        <w:rPr>
          <w:b/>
          <w:bCs/>
        </w:rPr>
        <w:t xml:space="preserve">not more than </w:t>
      </w:r>
      <w:r w:rsidR="00AF0F67" w:rsidRPr="006C39F6">
        <w:rPr>
          <w:b/>
          <w:bCs/>
        </w:rPr>
        <w:t>3</w:t>
      </w:r>
      <w:r w:rsidRPr="006C39F6">
        <w:rPr>
          <w:b/>
          <w:bCs/>
        </w:rPr>
        <w:t>00 words</w:t>
      </w:r>
      <w:r w:rsidRPr="006C39F6">
        <w:t xml:space="preserve"> should</w:t>
      </w:r>
      <w:r>
        <w:t xml:space="preserve"> be provided as indicated</w:t>
      </w:r>
      <w:r w:rsidR="003B393D">
        <w:t xml:space="preserve"> above</w:t>
      </w:r>
      <w:r w:rsidR="001E5375">
        <w:t>.</w:t>
      </w:r>
    </w:p>
    <w:p w:rsidR="009F4DBB" w:rsidRDefault="009F4DBB" w:rsidP="000B2CA0">
      <w:pPr>
        <w:ind w:left="288" w:hanging="288"/>
        <w:jc w:val="both"/>
      </w:pPr>
    </w:p>
    <w:p w:rsidR="009F4DBB" w:rsidRDefault="009F4DBB" w:rsidP="000B2CA0">
      <w:pPr>
        <w:numPr>
          <w:ilvl w:val="0"/>
          <w:numId w:val="2"/>
        </w:numPr>
        <w:tabs>
          <w:tab w:val="clear" w:pos="720"/>
          <w:tab w:val="num" w:pos="-2070"/>
        </w:tabs>
        <w:ind w:left="288" w:hanging="288"/>
        <w:jc w:val="both"/>
      </w:pPr>
      <w:r>
        <w:t xml:space="preserve">It is </w:t>
      </w:r>
      <w:r w:rsidR="003B393D">
        <w:t xml:space="preserve">expected </w:t>
      </w:r>
      <w:r>
        <w:t>that</w:t>
      </w:r>
      <w:r w:rsidR="003B393D">
        <w:t xml:space="preserve"> the</w:t>
      </w:r>
      <w:r>
        <w:t xml:space="preserve"> </w:t>
      </w:r>
      <w:r>
        <w:rPr>
          <w:b/>
          <w:bCs/>
        </w:rPr>
        <w:t>International System of Units (SI)</w:t>
      </w:r>
      <w:r>
        <w:t xml:space="preserve"> </w:t>
      </w:r>
      <w:r w:rsidR="003B393D">
        <w:t>is</w:t>
      </w:r>
      <w:r>
        <w:t xml:space="preserve"> used. If other units are used, relevant SI unit should be given within brackets or in a supplementary dual unit table.</w:t>
      </w:r>
    </w:p>
    <w:p w:rsidR="009F4DBB" w:rsidRDefault="009F4DBB" w:rsidP="000B2CA0">
      <w:pPr>
        <w:ind w:left="288" w:hanging="288"/>
        <w:jc w:val="both"/>
      </w:pPr>
    </w:p>
    <w:p w:rsidR="009F4DBB" w:rsidRDefault="009F4DBB" w:rsidP="000B2CA0">
      <w:pPr>
        <w:numPr>
          <w:ilvl w:val="0"/>
          <w:numId w:val="3"/>
        </w:numPr>
        <w:tabs>
          <w:tab w:val="clear" w:pos="720"/>
          <w:tab w:val="num" w:pos="-2070"/>
        </w:tabs>
        <w:ind w:left="288" w:hanging="288"/>
        <w:jc w:val="both"/>
      </w:pPr>
      <w:r>
        <w:t xml:space="preserve">Name(s) and </w:t>
      </w:r>
      <w:r w:rsidR="007A7698" w:rsidRPr="00E56DB9">
        <w:t>Contact details</w:t>
      </w:r>
      <w:r>
        <w:t xml:space="preserve"> of Author(s) </w:t>
      </w:r>
      <w:r w:rsidR="007536F9">
        <w:t>should</w:t>
      </w:r>
      <w:r w:rsidR="00F74B9F">
        <w:t xml:space="preserve"> be</w:t>
      </w:r>
      <w:r w:rsidR="007536F9">
        <w:t xml:space="preserve"> </w:t>
      </w:r>
      <w:r w:rsidR="00F74B9F">
        <w:t>provided</w:t>
      </w:r>
      <w:r w:rsidR="007536F9">
        <w:t xml:space="preserve"> in</w:t>
      </w:r>
      <w:r>
        <w:t xml:space="preserve"> the text box placed at the right hand bottom corner of the first page</w:t>
      </w:r>
      <w:r w:rsidR="009721B8">
        <w:t xml:space="preserve"> of the Paper</w:t>
      </w:r>
      <w:r w:rsidR="007536F9">
        <w:t>.</w:t>
      </w:r>
    </w:p>
    <w:p w:rsidR="009F4DBB" w:rsidRDefault="009F4DBB" w:rsidP="000B2CA0">
      <w:pPr>
        <w:ind w:left="288" w:hanging="288"/>
        <w:jc w:val="both"/>
      </w:pPr>
    </w:p>
    <w:p w:rsidR="009F4DBB" w:rsidRPr="00D05DC8" w:rsidRDefault="009F4DBB" w:rsidP="00BE7689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D05DC8">
        <w:t>The soft copy may be</w:t>
      </w:r>
      <w:r w:rsidR="004F3B13" w:rsidRPr="00D05DC8">
        <w:t xml:space="preserve"> submitted </w:t>
      </w:r>
      <w:r w:rsidR="00D05DC8" w:rsidRPr="00D05DC8">
        <w:t>to</w:t>
      </w:r>
      <w:r w:rsidR="00BE7689">
        <w:t xml:space="preserve"> </w:t>
      </w:r>
      <w:hyperlink r:id="rId13" w:tgtFrame="_blank" w:history="1">
        <w:r w:rsidR="00BE7689" w:rsidRPr="006163EA">
          <w:rPr>
            <w:color w:val="0070C0"/>
            <w:u w:val="single"/>
          </w:rPr>
          <w:t>Log in to Ea</w:t>
        </w:r>
        <w:r w:rsidR="00BE7689" w:rsidRPr="006163EA">
          <w:rPr>
            <w:color w:val="0070C0"/>
            <w:u w:val="single"/>
          </w:rPr>
          <w:t>s</w:t>
        </w:r>
        <w:r w:rsidR="00BE7689" w:rsidRPr="006163EA">
          <w:rPr>
            <w:color w:val="0070C0"/>
            <w:u w:val="single"/>
          </w:rPr>
          <w:t>yChair for R4TLI 2016</w:t>
        </w:r>
      </w:hyperlink>
      <w:r w:rsidR="00D05DC8">
        <w:t xml:space="preserve"> </w:t>
      </w:r>
      <w:r w:rsidR="00054C21" w:rsidRPr="00BE7689">
        <w:t xml:space="preserve"> </w:t>
      </w:r>
      <w:r w:rsidR="0089385A" w:rsidRPr="00D05DC8">
        <w:t xml:space="preserve">or </w:t>
      </w:r>
      <w:r w:rsidRPr="00D05DC8">
        <w:t xml:space="preserve">e-mailed </w:t>
      </w:r>
      <w:r w:rsidR="0089385A" w:rsidRPr="00D05DC8">
        <w:t xml:space="preserve">to </w:t>
      </w:r>
      <w:hyperlink r:id="rId14" w:tgtFrame="_blank" w:history="1">
        <w:r w:rsidR="00D05DC8" w:rsidRPr="009223FF">
          <w:rPr>
            <w:b/>
            <w:bCs/>
          </w:rPr>
          <w:t>ganga.s@sliit.lk</w:t>
        </w:r>
      </w:hyperlink>
    </w:p>
    <w:p w:rsidR="009F4DBB" w:rsidRDefault="009F4DBB" w:rsidP="00BE7689">
      <w:pPr>
        <w:tabs>
          <w:tab w:val="num" w:pos="-2070"/>
          <w:tab w:val="num" w:pos="270"/>
        </w:tabs>
        <w:ind w:left="-18" w:firstLine="18"/>
        <w:jc w:val="both"/>
      </w:pPr>
    </w:p>
    <w:p w:rsidR="009F4DBB" w:rsidRDefault="00BB639F">
      <w:pPr>
        <w:pStyle w:val="Heading1"/>
        <w:jc w:val="both"/>
        <w:rPr>
          <w:b/>
          <w:bCs/>
          <w:sz w:val="24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3.15pt;margin-top:0;width:212.6pt;height:46.9pt;z-index:251657216;mso-wrap-distance-top:14.2pt;mso-position-horizontal:right;mso-position-vertical:bottom;mso-position-vertical-relative:margin" o:allowoverlap="f">
            <v:textbox style="mso-next-textbox:#_x0000_s1026">
              <w:txbxContent>
                <w:p w:rsidR="009F4DBB" w:rsidRDefault="009F4DBB">
                  <w:pPr>
                    <w:rPr>
                      <w:i/>
                      <w:iCs/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>
                        <w:rPr>
                          <w:b/>
                          <w:bCs/>
                          <w:i/>
                          <w:iCs/>
                          <w:sz w:val="16"/>
                        </w:rPr>
                        <w:t>Eng.</w:t>
                      </w:r>
                    </w:smartTag>
                  </w:smartTag>
                  <w:r w:rsidR="000E19A6">
                    <w:rPr>
                      <w:b/>
                      <w:bCs/>
                      <w:i/>
                      <w:iCs/>
                      <w:sz w:val="16"/>
                    </w:rPr>
                    <w:t xml:space="preserve"> (Prof.) </w:t>
                  </w:r>
                  <w:r w:rsidR="009E12CA">
                    <w:rPr>
                      <w:b/>
                      <w:bCs/>
                      <w:i/>
                      <w:iCs/>
                      <w:sz w:val="16"/>
                    </w:rPr>
                    <w:t>S</w:t>
                  </w:r>
                  <w:r>
                    <w:rPr>
                      <w:b/>
                      <w:bCs/>
                      <w:i/>
                      <w:iCs/>
                      <w:sz w:val="16"/>
                    </w:rPr>
                    <w:t xml:space="preserve">. B. </w:t>
                  </w:r>
                  <w:proofErr w:type="spellStart"/>
                  <w:r w:rsidR="009E12CA">
                    <w:rPr>
                      <w:b/>
                      <w:bCs/>
                      <w:i/>
                      <w:iCs/>
                      <w:sz w:val="16"/>
                    </w:rPr>
                    <w:t>Sumith</w:t>
                  </w:r>
                  <w:proofErr w:type="spellEnd"/>
                  <w:proofErr w:type="gramStart"/>
                  <w:r w:rsidR="009E12CA">
                    <w:rPr>
                      <w:b/>
                      <w:bCs/>
                      <w:i/>
                      <w:iCs/>
                      <w:sz w:val="16"/>
                    </w:rPr>
                    <w:t xml:space="preserve">, </w:t>
                  </w:r>
                  <w:r>
                    <w:rPr>
                      <w:i/>
                      <w:iCs/>
                      <w:sz w:val="16"/>
                    </w:rPr>
                    <w:t xml:space="preserve"> Int</w:t>
                  </w:r>
                  <w:proofErr w:type="gramEnd"/>
                  <w:r>
                    <w:rPr>
                      <w:i/>
                      <w:iCs/>
                      <w:sz w:val="16"/>
                    </w:rPr>
                    <w:t xml:space="preserve">.  </w:t>
                  </w:r>
                  <w:proofErr w:type="spellStart"/>
                  <w:r>
                    <w:rPr>
                      <w:i/>
                      <w:iCs/>
                      <w:sz w:val="16"/>
                    </w:rPr>
                    <w:t>PEng</w:t>
                  </w:r>
                  <w:proofErr w:type="spellEnd"/>
                  <w:proofErr w:type="gramStart"/>
                  <w:r>
                    <w:rPr>
                      <w:i/>
                      <w:iCs/>
                      <w:sz w:val="16"/>
                    </w:rPr>
                    <w:t>.(</w:t>
                  </w:r>
                  <w:proofErr w:type="gramEnd"/>
                  <w:r>
                    <w:rPr>
                      <w:i/>
                      <w:iCs/>
                      <w:sz w:val="16"/>
                    </w:rPr>
                    <w:t xml:space="preserve">SL), C. Eng., FIE(SL),  B.Sc.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rPr>
                          <w:i/>
                          <w:iCs/>
                          <w:sz w:val="16"/>
                        </w:rPr>
                        <w:t>Eng.</w:t>
                      </w:r>
                    </w:smartTag>
                  </w:smartTag>
                  <w:r>
                    <w:rPr>
                      <w:i/>
                      <w:iCs/>
                      <w:sz w:val="16"/>
                    </w:rPr>
                    <w:t xml:space="preserve"> (Peradeniya), M.Eng. (MIT), Dr. Eng. (Tokyo), Professor of Civil Engineering, Department of Civil Engineering, The Open University of Sri Lanka.</w:t>
                  </w:r>
                </w:p>
              </w:txbxContent>
            </v:textbox>
            <w10:wrap type="topAndBottom" anchory="margin"/>
            <w10:anchorlock/>
          </v:shape>
        </w:pict>
      </w:r>
      <w:r w:rsidR="009F4DBB">
        <w:rPr>
          <w:b/>
          <w:bCs/>
          <w:sz w:val="24"/>
        </w:rPr>
        <w:t>3.</w:t>
      </w:r>
      <w:r w:rsidR="009F4DBB">
        <w:rPr>
          <w:b/>
          <w:bCs/>
          <w:sz w:val="24"/>
        </w:rPr>
        <w:tab/>
        <w:t>Format</w:t>
      </w:r>
    </w:p>
    <w:p w:rsidR="009F4DBB" w:rsidRDefault="009F4DBB">
      <w:pPr>
        <w:jc w:val="both"/>
      </w:pPr>
      <w:r>
        <w:t xml:space="preserve">The Journal </w:t>
      </w:r>
      <w:r w:rsidR="004734D3">
        <w:t>is</w:t>
      </w:r>
      <w:r>
        <w:t xml:space="preserve"> published in standard </w:t>
      </w:r>
      <w:r>
        <w:rPr>
          <w:b/>
          <w:bCs/>
        </w:rPr>
        <w:t>A4</w:t>
      </w:r>
      <w:r>
        <w:t xml:space="preserve"> size with </w:t>
      </w:r>
      <w:r w:rsidR="004734D3">
        <w:t xml:space="preserve">a </w:t>
      </w:r>
      <w:r>
        <w:t>two-column layout for text. Diagrams and tables should be in portrait orientation with either one or two column width.</w:t>
      </w:r>
    </w:p>
    <w:p w:rsidR="00417648" w:rsidRDefault="00417648">
      <w:pPr>
        <w:jc w:val="both"/>
      </w:pPr>
    </w:p>
    <w:p w:rsidR="009F4DBB" w:rsidRDefault="009F4DBB">
      <w:pPr>
        <w:jc w:val="both"/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ab/>
        <w:t>Size of the Paper</w:t>
      </w:r>
    </w:p>
    <w:p w:rsidR="009F4DBB" w:rsidRDefault="009F4DBB">
      <w:pPr>
        <w:jc w:val="both"/>
      </w:pPr>
      <w:r>
        <w:t xml:space="preserve">Size of the paper composed in the required format is limited to </w:t>
      </w:r>
      <w:r w:rsidR="003025C3">
        <w:t>eight</w:t>
      </w:r>
      <w:r>
        <w:t xml:space="preserve"> (</w:t>
      </w:r>
      <w:r w:rsidR="003025C3">
        <w:t>8</w:t>
      </w:r>
      <w:r>
        <w:t>) pages. On special occasions this maximum may be waived on the discretion of the Editor.</w:t>
      </w:r>
    </w:p>
    <w:p w:rsidR="006163EA" w:rsidRDefault="006163EA">
      <w:pPr>
        <w:jc w:val="both"/>
      </w:pPr>
    </w:p>
    <w:p w:rsidR="009F4DBB" w:rsidRDefault="009F4DBB">
      <w:pPr>
        <w:jc w:val="both"/>
        <w:rPr>
          <w:b/>
          <w:bCs/>
        </w:rPr>
      </w:pPr>
      <w:r>
        <w:rPr>
          <w:b/>
          <w:bCs/>
        </w:rPr>
        <w:t>3.2</w:t>
      </w:r>
      <w:r>
        <w:rPr>
          <w:b/>
          <w:bCs/>
        </w:rPr>
        <w:tab/>
        <w:t>Font and Margins</w:t>
      </w:r>
    </w:p>
    <w:p w:rsidR="009F4DBB" w:rsidRDefault="009F4DBB">
      <w:pPr>
        <w:pStyle w:val="BodyText"/>
      </w:pPr>
      <w:r>
        <w:t xml:space="preserve">The Font for general text should be </w:t>
      </w:r>
      <w:r>
        <w:rPr>
          <w:b/>
          <w:bCs/>
        </w:rPr>
        <w:t>‘</w:t>
      </w:r>
      <w:r w:rsidR="00F74B9F">
        <w:rPr>
          <w:b/>
          <w:bCs/>
        </w:rPr>
        <w:t>Times New Roman</w:t>
      </w:r>
      <w:r>
        <w:rPr>
          <w:b/>
          <w:bCs/>
        </w:rPr>
        <w:t>’</w:t>
      </w:r>
      <w:r>
        <w:t xml:space="preserve"> with 10-point size. Main headings shall be with the same font of 12-point size, bolded while sub headings shall be 10-point size, bolded. </w:t>
      </w:r>
      <w:smartTag w:uri="urn:schemas-microsoft-com:office:smarttags" w:element="place">
        <w:r>
          <w:t>Main</w:t>
        </w:r>
      </w:smartTag>
      <w:r>
        <w:t xml:space="preserve"> and sub headings should be numbered in the manner adopted in this paper.</w:t>
      </w:r>
    </w:p>
    <w:p w:rsidR="009F4DBB" w:rsidRDefault="009F4DBB">
      <w:pPr>
        <w:jc w:val="both"/>
      </w:pPr>
    </w:p>
    <w:p w:rsidR="009F4DBB" w:rsidRDefault="006163EA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1E8FB0" wp14:editId="357B20DD">
            <wp:simplePos x="0" y="0"/>
            <wp:positionH relativeFrom="column">
              <wp:posOffset>3051810</wp:posOffset>
            </wp:positionH>
            <wp:positionV relativeFrom="paragraph">
              <wp:posOffset>179070</wp:posOffset>
            </wp:positionV>
            <wp:extent cx="2505075" cy="1383665"/>
            <wp:effectExtent l="0" t="0" r="0" b="0"/>
            <wp:wrapSquare wrapText="bothSides"/>
            <wp:docPr id="3" name="Picture 3" descr="https://bryantanner.files.wordpress.com/2012/09/porter-value-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ryantanner.files.wordpress.com/2012/09/porter-value-chain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 t="12000" b="8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DBB">
        <w:t>Margins shall be 20 mm all around and an additional binding gutter of 10 mm on the appropriate edge</w:t>
      </w:r>
      <w:r w:rsidR="00763B06">
        <w:t xml:space="preserve"> (Mirror Margins)</w:t>
      </w:r>
      <w:r w:rsidR="009F4DBB">
        <w:t xml:space="preserve">. Width of a text column shall be 75 mm with a space of 10 mm in between.  </w:t>
      </w:r>
    </w:p>
    <w:p w:rsidR="009F4DBB" w:rsidRDefault="009F4DBB">
      <w:pPr>
        <w:jc w:val="both"/>
      </w:pPr>
    </w:p>
    <w:p w:rsidR="009F4DBB" w:rsidRDefault="009F4DBB">
      <w:pPr>
        <w:jc w:val="both"/>
        <w:rPr>
          <w:b/>
          <w:bCs/>
        </w:rPr>
      </w:pPr>
      <w:r>
        <w:rPr>
          <w:b/>
          <w:bCs/>
        </w:rPr>
        <w:t>3.3</w:t>
      </w:r>
      <w:r>
        <w:rPr>
          <w:b/>
          <w:bCs/>
        </w:rPr>
        <w:tab/>
        <w:t xml:space="preserve">Headings and </w:t>
      </w:r>
      <w:r w:rsidR="00B021DA">
        <w:rPr>
          <w:b/>
          <w:bCs/>
        </w:rPr>
        <w:t>O</w:t>
      </w:r>
      <w:r>
        <w:rPr>
          <w:b/>
          <w:bCs/>
        </w:rPr>
        <w:t xml:space="preserve">rder of </w:t>
      </w:r>
      <w:r w:rsidR="00B021DA">
        <w:rPr>
          <w:b/>
          <w:bCs/>
        </w:rPr>
        <w:t>P</w:t>
      </w:r>
      <w:r>
        <w:rPr>
          <w:b/>
          <w:bCs/>
        </w:rPr>
        <w:t>resentation</w:t>
      </w:r>
    </w:p>
    <w:p w:rsidR="009F4DBB" w:rsidRDefault="009F4DBB">
      <w:pPr>
        <w:jc w:val="both"/>
      </w:pPr>
      <w:r>
        <w:t>The author is free to name headings according to the context and content of the paper. However, it is preferable to have main headings in the following order for consistency.</w:t>
      </w:r>
    </w:p>
    <w:p w:rsidR="009F4DBB" w:rsidRDefault="009F4DBB">
      <w:pPr>
        <w:jc w:val="both"/>
      </w:pPr>
    </w:p>
    <w:p w:rsidR="009F4DBB" w:rsidRDefault="009F4DBB">
      <w:pPr>
        <w:ind w:firstLine="720"/>
        <w:jc w:val="both"/>
        <w:rPr>
          <w:i/>
          <w:iCs/>
        </w:rPr>
      </w:pPr>
      <w:r>
        <w:rPr>
          <w:i/>
          <w:iCs/>
        </w:rPr>
        <w:t>Introduction</w:t>
      </w:r>
    </w:p>
    <w:p w:rsidR="009F4DBB" w:rsidRDefault="009F4DBB">
      <w:pPr>
        <w:ind w:firstLine="720"/>
        <w:jc w:val="both"/>
        <w:rPr>
          <w:i/>
          <w:iCs/>
        </w:rPr>
      </w:pPr>
      <w:r>
        <w:rPr>
          <w:i/>
          <w:iCs/>
        </w:rPr>
        <w:t>Literature Review</w:t>
      </w:r>
    </w:p>
    <w:p w:rsidR="009F4DBB" w:rsidRDefault="009F4DBB">
      <w:pPr>
        <w:jc w:val="both"/>
        <w:rPr>
          <w:i/>
          <w:iCs/>
        </w:rPr>
      </w:pPr>
      <w:r>
        <w:rPr>
          <w:i/>
          <w:iCs/>
        </w:rPr>
        <w:tab/>
        <w:t>....</w:t>
      </w:r>
    </w:p>
    <w:p w:rsidR="009F4DBB" w:rsidRDefault="009F4DBB">
      <w:pPr>
        <w:jc w:val="both"/>
        <w:rPr>
          <w:i/>
          <w:iCs/>
        </w:rPr>
      </w:pPr>
      <w:r>
        <w:rPr>
          <w:i/>
          <w:iCs/>
        </w:rPr>
        <w:tab/>
        <w:t>....</w:t>
      </w:r>
    </w:p>
    <w:p w:rsidR="009F4DBB" w:rsidRDefault="009F4DBB">
      <w:pPr>
        <w:jc w:val="both"/>
        <w:rPr>
          <w:i/>
          <w:iCs/>
        </w:rPr>
      </w:pPr>
      <w:r>
        <w:rPr>
          <w:i/>
          <w:iCs/>
        </w:rPr>
        <w:tab/>
        <w:t>....</w:t>
      </w:r>
    </w:p>
    <w:p w:rsidR="009F4DBB" w:rsidRDefault="009F4DBB">
      <w:pPr>
        <w:jc w:val="both"/>
        <w:rPr>
          <w:i/>
          <w:iCs/>
        </w:rPr>
      </w:pPr>
      <w:r>
        <w:rPr>
          <w:i/>
          <w:iCs/>
        </w:rPr>
        <w:tab/>
        <w:t>Conclusions</w:t>
      </w:r>
    </w:p>
    <w:p w:rsidR="009F4DBB" w:rsidRDefault="009F4DBB">
      <w:pPr>
        <w:pStyle w:val="Heading4"/>
      </w:pPr>
      <w:r>
        <w:tab/>
        <w:t>References</w:t>
      </w:r>
    </w:p>
    <w:p w:rsidR="009F4DBB" w:rsidRDefault="000E19A6">
      <w:pPr>
        <w:jc w:val="both"/>
        <w:rPr>
          <w:i/>
          <w:iCs/>
        </w:rPr>
      </w:pPr>
      <w:r>
        <w:rPr>
          <w:i/>
          <w:iCs/>
        </w:rPr>
        <w:tab/>
        <w:t>Acknowledgement</w:t>
      </w:r>
      <w:r w:rsidR="001E5375">
        <w:rPr>
          <w:i/>
          <w:iCs/>
        </w:rPr>
        <w:t xml:space="preserve"> (if any)</w:t>
      </w:r>
    </w:p>
    <w:p w:rsidR="009F4DBB" w:rsidRDefault="009F4DBB">
      <w:pPr>
        <w:jc w:val="both"/>
      </w:pPr>
    </w:p>
    <w:p w:rsidR="009F4DBB" w:rsidRDefault="009F4DBB">
      <w:pPr>
        <w:jc w:val="both"/>
      </w:pPr>
      <w:r>
        <w:t>Refe</w:t>
      </w:r>
      <w:r w:rsidR="001E5375">
        <w:t>rences (all cited in main text)</w:t>
      </w:r>
      <w:r>
        <w:t xml:space="preserve"> </w:t>
      </w:r>
      <w:r w:rsidR="000E19A6">
        <w:t>and Acknowledgement</w:t>
      </w:r>
      <w:r>
        <w:t xml:space="preserve"> should n</w:t>
      </w:r>
      <w:r w:rsidR="001E5375">
        <w:t>ot be given a paragraph number.</w:t>
      </w:r>
    </w:p>
    <w:p w:rsidR="009F4DBB" w:rsidRDefault="009F4DBB">
      <w:pPr>
        <w:jc w:val="both"/>
      </w:pPr>
    </w:p>
    <w:p w:rsidR="009F4DBB" w:rsidRDefault="009F4DBB">
      <w:pPr>
        <w:jc w:val="both"/>
        <w:rPr>
          <w:b/>
          <w:bCs/>
        </w:rPr>
      </w:pPr>
      <w:r>
        <w:rPr>
          <w:b/>
          <w:bCs/>
        </w:rPr>
        <w:t>3.4</w:t>
      </w:r>
      <w:r>
        <w:rPr>
          <w:b/>
          <w:bCs/>
        </w:rPr>
        <w:tab/>
      </w:r>
      <w:r w:rsidR="00BB10C7">
        <w:rPr>
          <w:b/>
          <w:bCs/>
        </w:rPr>
        <w:t>Format Limitations</w:t>
      </w:r>
    </w:p>
    <w:p w:rsidR="009F4DBB" w:rsidRDefault="009F4DBB">
      <w:pPr>
        <w:jc w:val="both"/>
      </w:pPr>
      <w:r>
        <w:t>Due to the adopted format, authors are advised not to use ‘headers’, ‘footers’ or ‘foot notes’.</w:t>
      </w:r>
    </w:p>
    <w:p w:rsidR="009F4DBB" w:rsidRDefault="009F4DBB">
      <w:pPr>
        <w:jc w:val="both"/>
      </w:pPr>
    </w:p>
    <w:p w:rsidR="009F4DBB" w:rsidRDefault="009F4DBB">
      <w:pPr>
        <w:pStyle w:val="Heading1"/>
        <w:jc w:val="both"/>
        <w:rPr>
          <w:b/>
          <w:bCs/>
          <w:sz w:val="24"/>
        </w:rPr>
      </w:pPr>
      <w:r>
        <w:rPr>
          <w:b/>
          <w:bCs/>
          <w:sz w:val="24"/>
        </w:rPr>
        <w:t>4.</w:t>
      </w:r>
      <w:r>
        <w:rPr>
          <w:b/>
          <w:bCs/>
          <w:sz w:val="24"/>
        </w:rPr>
        <w:tab/>
        <w:t>Presentation</w:t>
      </w:r>
    </w:p>
    <w:p w:rsidR="009F4DBB" w:rsidRDefault="009F4DBB">
      <w:pPr>
        <w:jc w:val="both"/>
      </w:pPr>
    </w:p>
    <w:p w:rsidR="009F4DBB" w:rsidRDefault="009F4DBB">
      <w:pPr>
        <w:jc w:val="both"/>
      </w:pPr>
      <w:r>
        <w:t>For the message delivered by the article to be more effective, the text should be supplemented by ‘tables’, ‘figures’ ‘equations’ &amp; ‘photographs’ as appropriate and references to other publications.</w:t>
      </w:r>
    </w:p>
    <w:p w:rsidR="009F4DBB" w:rsidRDefault="009F4DBB">
      <w:pPr>
        <w:jc w:val="both"/>
      </w:pPr>
    </w:p>
    <w:p w:rsidR="009F4DBB" w:rsidRDefault="009F4DBB">
      <w:pPr>
        <w:jc w:val="both"/>
        <w:rPr>
          <w:b/>
          <w:bCs/>
        </w:rPr>
      </w:pPr>
      <w:r>
        <w:rPr>
          <w:b/>
          <w:bCs/>
        </w:rPr>
        <w:t>4.1</w:t>
      </w:r>
      <w:r>
        <w:rPr>
          <w:b/>
          <w:bCs/>
        </w:rPr>
        <w:tab/>
        <w:t>Tables</w:t>
      </w:r>
    </w:p>
    <w:p w:rsidR="009F4DBB" w:rsidRDefault="009F4DBB">
      <w:pPr>
        <w:jc w:val="both"/>
      </w:pPr>
      <w:r>
        <w:t xml:space="preserve">Tables should be either one or two column width in portrait orientation. Each table should be sequentially numbered and titled </w:t>
      </w:r>
      <w:r>
        <w:rPr>
          <w:u w:val="single"/>
        </w:rPr>
        <w:t>above</w:t>
      </w:r>
      <w:r>
        <w:t xml:space="preserve"> its top. (e.g.: </w:t>
      </w:r>
      <w:r w:rsidRPr="00A937D2">
        <w:rPr>
          <w:b/>
          <w:bCs/>
          <w:sz w:val="16"/>
        </w:rPr>
        <w:t xml:space="preserve">Table 1 – </w:t>
      </w:r>
      <w:r w:rsidR="00A937D2" w:rsidRPr="00A937D2">
        <w:rPr>
          <w:b/>
          <w:bCs/>
          <w:sz w:val="16"/>
        </w:rPr>
        <w:t>Sri Lanka Population Rate</w:t>
      </w:r>
      <w:r>
        <w:t>.)</w:t>
      </w:r>
    </w:p>
    <w:p w:rsidR="00A937D2" w:rsidRDefault="00A937D2">
      <w:pPr>
        <w:jc w:val="both"/>
      </w:pPr>
    </w:p>
    <w:p w:rsidR="009F4DBB" w:rsidRPr="00A937D2" w:rsidRDefault="00A937D2" w:rsidP="00D741E9">
      <w:pPr>
        <w:jc w:val="center"/>
        <w:rPr>
          <w:sz w:val="16"/>
        </w:rPr>
      </w:pPr>
      <w:r w:rsidRPr="00A937D2">
        <w:rPr>
          <w:b/>
          <w:bCs/>
          <w:sz w:val="16"/>
        </w:rPr>
        <w:t>Table 1 – Sri Lanka Population 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235"/>
      </w:tblGrid>
      <w:tr w:rsidR="00D741E9" w:rsidRPr="00527E16" w:rsidTr="00527E16">
        <w:trPr>
          <w:trHeight w:val="269"/>
        </w:trPr>
        <w:tc>
          <w:tcPr>
            <w:tcW w:w="2234" w:type="dxa"/>
            <w:shd w:val="clear" w:color="auto" w:fill="auto"/>
          </w:tcPr>
          <w:p w:rsidR="00D741E9" w:rsidRPr="00527E16" w:rsidRDefault="00A937D2" w:rsidP="00527E16">
            <w:pPr>
              <w:jc w:val="center"/>
              <w:rPr>
                <w:b/>
                <w:bCs/>
                <w:sz w:val="16"/>
              </w:rPr>
            </w:pPr>
            <w:r w:rsidRPr="00527E16">
              <w:rPr>
                <w:b/>
                <w:bCs/>
                <w:sz w:val="16"/>
              </w:rPr>
              <w:t>Year</w:t>
            </w:r>
          </w:p>
        </w:tc>
        <w:tc>
          <w:tcPr>
            <w:tcW w:w="2235" w:type="dxa"/>
            <w:shd w:val="clear" w:color="auto" w:fill="auto"/>
          </w:tcPr>
          <w:p w:rsidR="00D741E9" w:rsidRPr="00527E16" w:rsidRDefault="00D741E9" w:rsidP="00527E16">
            <w:pPr>
              <w:jc w:val="center"/>
              <w:rPr>
                <w:b/>
                <w:bCs/>
                <w:sz w:val="16"/>
              </w:rPr>
            </w:pPr>
            <w:r w:rsidRPr="00527E16">
              <w:rPr>
                <w:b/>
                <w:bCs/>
                <w:sz w:val="16"/>
              </w:rPr>
              <w:t xml:space="preserve">Population </w:t>
            </w:r>
            <w:r w:rsidR="00A937D2" w:rsidRPr="00527E16">
              <w:rPr>
                <w:b/>
                <w:bCs/>
                <w:sz w:val="16"/>
              </w:rPr>
              <w:t>Rate (%)</w:t>
            </w:r>
          </w:p>
        </w:tc>
      </w:tr>
      <w:tr w:rsidR="00D741E9" w:rsidRPr="00527E16" w:rsidTr="00527E16">
        <w:trPr>
          <w:trHeight w:val="251"/>
        </w:trPr>
        <w:tc>
          <w:tcPr>
            <w:tcW w:w="2234" w:type="dxa"/>
            <w:shd w:val="clear" w:color="auto" w:fill="auto"/>
          </w:tcPr>
          <w:p w:rsidR="00D741E9" w:rsidRPr="00527E16" w:rsidRDefault="00A937D2" w:rsidP="00527E16">
            <w:pPr>
              <w:jc w:val="center"/>
              <w:rPr>
                <w:bCs/>
                <w:sz w:val="16"/>
              </w:rPr>
            </w:pPr>
            <w:r w:rsidRPr="00527E16">
              <w:rPr>
                <w:bCs/>
                <w:sz w:val="16"/>
              </w:rPr>
              <w:t>2000</w:t>
            </w:r>
          </w:p>
        </w:tc>
        <w:tc>
          <w:tcPr>
            <w:tcW w:w="2235" w:type="dxa"/>
            <w:shd w:val="clear" w:color="auto" w:fill="auto"/>
          </w:tcPr>
          <w:p w:rsidR="00D741E9" w:rsidRPr="00527E16" w:rsidRDefault="00A937D2" w:rsidP="00527E16">
            <w:pPr>
              <w:jc w:val="center"/>
              <w:rPr>
                <w:b/>
                <w:bCs/>
                <w:sz w:val="16"/>
              </w:rPr>
            </w:pPr>
            <w:r w:rsidRPr="00527E16">
              <w:rPr>
                <w:b/>
                <w:bCs/>
                <w:sz w:val="16"/>
              </w:rPr>
              <w:t>8</w:t>
            </w:r>
          </w:p>
        </w:tc>
      </w:tr>
      <w:tr w:rsidR="00D741E9" w:rsidRPr="00527E16" w:rsidTr="00527E16">
        <w:tc>
          <w:tcPr>
            <w:tcW w:w="2234" w:type="dxa"/>
            <w:shd w:val="clear" w:color="auto" w:fill="auto"/>
          </w:tcPr>
          <w:p w:rsidR="00D741E9" w:rsidRPr="00527E16" w:rsidRDefault="00A937D2" w:rsidP="00527E16">
            <w:pPr>
              <w:jc w:val="center"/>
              <w:rPr>
                <w:bCs/>
                <w:sz w:val="16"/>
              </w:rPr>
            </w:pPr>
            <w:r w:rsidRPr="00527E16">
              <w:rPr>
                <w:bCs/>
                <w:sz w:val="16"/>
              </w:rPr>
              <w:t>2010</w:t>
            </w:r>
          </w:p>
        </w:tc>
        <w:tc>
          <w:tcPr>
            <w:tcW w:w="2235" w:type="dxa"/>
            <w:shd w:val="clear" w:color="auto" w:fill="auto"/>
          </w:tcPr>
          <w:p w:rsidR="00D741E9" w:rsidRPr="00527E16" w:rsidRDefault="00A937D2" w:rsidP="00527E16">
            <w:pPr>
              <w:jc w:val="center"/>
              <w:rPr>
                <w:b/>
                <w:bCs/>
                <w:sz w:val="16"/>
              </w:rPr>
            </w:pPr>
            <w:r w:rsidRPr="00527E16">
              <w:rPr>
                <w:b/>
                <w:bCs/>
                <w:sz w:val="16"/>
              </w:rPr>
              <w:t>8.6</w:t>
            </w:r>
          </w:p>
        </w:tc>
      </w:tr>
    </w:tbl>
    <w:p w:rsidR="00D741E9" w:rsidRPr="00A937D2" w:rsidRDefault="00A937D2">
      <w:pPr>
        <w:jc w:val="both"/>
        <w:rPr>
          <w:b/>
          <w:bCs/>
          <w:i/>
          <w:sz w:val="16"/>
        </w:rPr>
      </w:pPr>
      <w:r w:rsidRPr="00A937D2">
        <w:rPr>
          <w:b/>
          <w:bCs/>
          <w:i/>
          <w:sz w:val="16"/>
        </w:rPr>
        <w:t xml:space="preserve">Source- </w:t>
      </w:r>
      <w:proofErr w:type="spellStart"/>
      <w:r w:rsidRPr="00A937D2">
        <w:rPr>
          <w:b/>
          <w:bCs/>
          <w:i/>
          <w:sz w:val="16"/>
        </w:rPr>
        <w:t>Abeykoon</w:t>
      </w:r>
      <w:proofErr w:type="spellEnd"/>
      <w:r w:rsidRPr="00A937D2">
        <w:rPr>
          <w:b/>
          <w:bCs/>
          <w:i/>
          <w:sz w:val="16"/>
        </w:rPr>
        <w:t>, 2001, Demographic trends among major ethnic groups in Sri Lank</w:t>
      </w:r>
      <w:r>
        <w:rPr>
          <w:b/>
          <w:bCs/>
          <w:i/>
          <w:sz w:val="16"/>
        </w:rPr>
        <w:t>a</w:t>
      </w:r>
    </w:p>
    <w:p w:rsidR="00BE7689" w:rsidRDefault="00BE7689">
      <w:pPr>
        <w:jc w:val="both"/>
        <w:rPr>
          <w:b/>
          <w:bCs/>
        </w:rPr>
      </w:pPr>
    </w:p>
    <w:p w:rsidR="00BE7689" w:rsidRDefault="00BE7689">
      <w:pPr>
        <w:jc w:val="both"/>
        <w:rPr>
          <w:b/>
          <w:bCs/>
        </w:rPr>
      </w:pPr>
    </w:p>
    <w:p w:rsidR="009F4DBB" w:rsidRDefault="009F4DBB">
      <w:pPr>
        <w:jc w:val="both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ab/>
        <w:t>Figures and Photographs</w:t>
      </w:r>
    </w:p>
    <w:p w:rsidR="009F4DBB" w:rsidRPr="00A937D2" w:rsidRDefault="009F4DBB">
      <w:pPr>
        <w:jc w:val="both"/>
        <w:rPr>
          <w:sz w:val="22"/>
        </w:rPr>
      </w:pPr>
      <w:r>
        <w:t xml:space="preserve">Figures and photographs should be either one or two column width in portrait orientation. Photographs should be preferably scanned (at 100 dpi in </w:t>
      </w:r>
      <w:r>
        <w:rPr>
          <w:b/>
          <w:bCs/>
        </w:rPr>
        <w:t>.jpg</w:t>
      </w:r>
      <w:r>
        <w:t xml:space="preserve"> or </w:t>
      </w:r>
      <w:r>
        <w:rPr>
          <w:b/>
          <w:bCs/>
        </w:rPr>
        <w:t>.tif</w:t>
      </w:r>
      <w:r>
        <w:t xml:space="preserve"> format) and sized before placement in the manuscript. Each figure </w:t>
      </w:r>
      <w:r>
        <w:lastRenderedPageBreak/>
        <w:t xml:space="preserve">should be sequentially numbered and titled </w:t>
      </w:r>
      <w:r>
        <w:rPr>
          <w:u w:val="single"/>
        </w:rPr>
        <w:t>below</w:t>
      </w:r>
      <w:r>
        <w:t xml:space="preserve">. </w:t>
      </w:r>
    </w:p>
    <w:p w:rsidR="00D741E9" w:rsidRPr="00A937D2" w:rsidRDefault="00D741E9" w:rsidP="00D741E9">
      <w:pPr>
        <w:jc w:val="center"/>
        <w:rPr>
          <w:b/>
          <w:sz w:val="16"/>
        </w:rPr>
      </w:pPr>
      <w:r w:rsidRPr="00A937D2">
        <w:rPr>
          <w:b/>
          <w:sz w:val="16"/>
        </w:rPr>
        <w:t>Figure 1: Value Chain</w:t>
      </w:r>
    </w:p>
    <w:p w:rsidR="009F4DBB" w:rsidRDefault="009F4DBB">
      <w:pPr>
        <w:jc w:val="both"/>
      </w:pPr>
    </w:p>
    <w:p w:rsidR="009F4DBB" w:rsidRDefault="009F4DBB">
      <w:pPr>
        <w:jc w:val="both"/>
        <w:rPr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ab/>
        <w:t>Equations (Mathematical Expressions)</w:t>
      </w:r>
    </w:p>
    <w:p w:rsidR="009F4DBB" w:rsidRDefault="009F4DBB">
      <w:pPr>
        <w:ind w:left="-18"/>
        <w:jc w:val="both"/>
      </w:pPr>
      <w:r>
        <w:t>Equations should be indented and separated from the text and identified by consecutive numbers placed at the far right side of the line within brackets.</w:t>
      </w:r>
    </w:p>
    <w:p w:rsidR="009F4DBB" w:rsidRDefault="00BB10C7">
      <w:pPr>
        <w:ind w:left="-18"/>
        <w:jc w:val="both"/>
      </w:pPr>
      <w:r>
        <w:t>{e.g.:</w:t>
      </w:r>
      <w:r>
        <w:tab/>
        <w:t>F = 9C/5 + 32</w:t>
      </w:r>
      <w:r w:rsidR="00F74B9F">
        <w:t>.... (</w:t>
      </w:r>
      <w:r>
        <w:t>3</w:t>
      </w:r>
      <w:r w:rsidR="00F74B9F">
        <w:t>)}</w:t>
      </w:r>
      <w:bookmarkStart w:id="0" w:name="_GoBack"/>
      <w:bookmarkEnd w:id="0"/>
    </w:p>
    <w:p w:rsidR="009F4DBB" w:rsidRDefault="009F4DBB">
      <w:pPr>
        <w:ind w:left="-18"/>
        <w:jc w:val="both"/>
      </w:pPr>
    </w:p>
    <w:p w:rsidR="009F4DBB" w:rsidRDefault="009F4DBB">
      <w:pPr>
        <w:jc w:val="both"/>
        <w:rPr>
          <w:b/>
          <w:bCs/>
        </w:rPr>
      </w:pPr>
      <w:r>
        <w:rPr>
          <w:b/>
          <w:bCs/>
        </w:rPr>
        <w:t>4.4</w:t>
      </w:r>
      <w:r>
        <w:rPr>
          <w:b/>
          <w:bCs/>
        </w:rPr>
        <w:tab/>
        <w:t>Citing References</w:t>
      </w:r>
    </w:p>
    <w:p w:rsidR="009F4DBB" w:rsidRDefault="009F4DBB">
      <w:pPr>
        <w:pStyle w:val="BodyTextIndent"/>
      </w:pPr>
      <w:r>
        <w:t>References should be cited within square brackets in the main text. (e.g.: [1], Wu et al. [2]) Formats for listing references vary according to the type of publication. Authors should therefore adhere to following formats given in the reference list (</w:t>
      </w:r>
      <w:r w:rsidR="00553A7D">
        <w:t xml:space="preserve">in </w:t>
      </w:r>
      <w:r>
        <w:t xml:space="preserve">Book Antiqua 9 pt.), which should be listed and numbered </w:t>
      </w:r>
      <w:r w:rsidR="00CB7CAD">
        <w:t>sequentially</w:t>
      </w:r>
      <w:r>
        <w:t xml:space="preserve">; Books [1], Journals [2], </w:t>
      </w:r>
      <w:r w:rsidR="003B393D">
        <w:t>Conferences [3], and Internet references [4</w:t>
      </w:r>
      <w:r>
        <w:t>].</w:t>
      </w:r>
    </w:p>
    <w:p w:rsidR="009F4DBB" w:rsidRDefault="009F4DBB">
      <w:pPr>
        <w:ind w:left="-18"/>
        <w:jc w:val="both"/>
      </w:pPr>
    </w:p>
    <w:p w:rsidR="009F4DBB" w:rsidRDefault="009F4DBB">
      <w:pPr>
        <w:pStyle w:val="Heading1"/>
        <w:jc w:val="both"/>
        <w:rPr>
          <w:b/>
          <w:bCs/>
          <w:sz w:val="24"/>
        </w:rPr>
      </w:pPr>
      <w:r>
        <w:rPr>
          <w:b/>
          <w:bCs/>
          <w:sz w:val="24"/>
        </w:rPr>
        <w:t>5.</w:t>
      </w:r>
      <w:r>
        <w:rPr>
          <w:b/>
          <w:bCs/>
          <w:sz w:val="24"/>
        </w:rPr>
        <w:tab/>
        <w:t>Conclusions</w:t>
      </w:r>
    </w:p>
    <w:p w:rsidR="009F4DBB" w:rsidRDefault="009F4DBB">
      <w:pPr>
        <w:jc w:val="both"/>
      </w:pPr>
    </w:p>
    <w:p w:rsidR="009F4DBB" w:rsidRDefault="009F4DBB">
      <w:pPr>
        <w:jc w:val="both"/>
      </w:pPr>
      <w:r>
        <w:t>It is expected that by complying with the simple guidelines presented in this paper, the authors would be able to present their research and professional articles in a logical and coherent manner so as to comply with internationally accepted standards.</w:t>
      </w:r>
    </w:p>
    <w:p w:rsidR="009F4DBB" w:rsidRDefault="009F4DBB">
      <w:pPr>
        <w:jc w:val="both"/>
      </w:pPr>
    </w:p>
    <w:p w:rsidR="00875AC5" w:rsidRDefault="00875AC5" w:rsidP="00875AC5">
      <w:pPr>
        <w:pStyle w:val="Heading1"/>
        <w:jc w:val="both"/>
        <w:rPr>
          <w:b/>
          <w:bCs/>
          <w:sz w:val="24"/>
        </w:rPr>
      </w:pPr>
      <w:r>
        <w:rPr>
          <w:b/>
          <w:bCs/>
          <w:sz w:val="24"/>
        </w:rPr>
        <w:t>Acknowledgement</w:t>
      </w:r>
    </w:p>
    <w:p w:rsidR="009F4DBB" w:rsidRDefault="004138FB">
      <w:pPr>
        <w:jc w:val="both"/>
      </w:pPr>
      <w:r>
        <w:t>A</w:t>
      </w:r>
      <w:r w:rsidR="00574C30">
        <w:t>uthor wishes to ack</w:t>
      </w:r>
      <w:r w:rsidR="000E19A6">
        <w:t xml:space="preserve">nowledge the assistance given by the </w:t>
      </w:r>
      <w:r w:rsidR="00F74B9F">
        <w:t xml:space="preserve">SLSTL </w:t>
      </w:r>
      <w:r>
        <w:t>in preparation of this guide</w:t>
      </w:r>
      <w:r w:rsidR="000E19A6">
        <w:t>.</w:t>
      </w:r>
    </w:p>
    <w:p w:rsidR="009F4DBB" w:rsidRDefault="009F4DBB">
      <w:pPr>
        <w:jc w:val="both"/>
      </w:pPr>
    </w:p>
    <w:p w:rsidR="009F4DBB" w:rsidRDefault="009F4DBB">
      <w:pPr>
        <w:pStyle w:val="Heading1"/>
        <w:jc w:val="both"/>
        <w:rPr>
          <w:b/>
          <w:bCs/>
          <w:sz w:val="24"/>
        </w:rPr>
      </w:pPr>
      <w:r>
        <w:rPr>
          <w:b/>
          <w:bCs/>
          <w:sz w:val="24"/>
        </w:rPr>
        <w:t>References</w:t>
      </w:r>
    </w:p>
    <w:p w:rsidR="00400EA3" w:rsidRDefault="009F4DBB" w:rsidP="00400EA3">
      <w:pPr>
        <w:ind w:left="270" w:hanging="270"/>
        <w:jc w:val="both"/>
        <w:rPr>
          <w:sz w:val="18"/>
        </w:rPr>
      </w:pPr>
      <w:r>
        <w:rPr>
          <w:sz w:val="18"/>
        </w:rPr>
        <w:t>1.</w:t>
      </w:r>
      <w:r>
        <w:rPr>
          <w:sz w:val="18"/>
        </w:rPr>
        <w:tab/>
      </w:r>
      <w:r w:rsidR="00400EA3" w:rsidRPr="00400EA3">
        <w:rPr>
          <w:sz w:val="18"/>
        </w:rPr>
        <w:t xml:space="preserve">Andreas, R. &amp; Matthias, H. (2006), “Co-located supplier clusters: forms, functions and theoretical perspectives”, International Journal of Operation &amp; Production Management, Vol. 28. No. 1, pp. 55-73 </w:t>
      </w:r>
    </w:p>
    <w:p w:rsidR="00400EA3" w:rsidRPr="00400EA3" w:rsidRDefault="00400EA3" w:rsidP="00400EA3">
      <w:pPr>
        <w:ind w:left="270" w:hanging="270"/>
        <w:jc w:val="both"/>
        <w:rPr>
          <w:sz w:val="18"/>
        </w:rPr>
      </w:pPr>
    </w:p>
    <w:p w:rsidR="009F4DBB" w:rsidRDefault="00400EA3" w:rsidP="00400EA3">
      <w:pPr>
        <w:ind w:left="270" w:hanging="270"/>
        <w:jc w:val="both"/>
        <w:rPr>
          <w:sz w:val="18"/>
        </w:rPr>
      </w:pPr>
      <w:r>
        <w:rPr>
          <w:sz w:val="18"/>
        </w:rPr>
        <w:t>2</w:t>
      </w:r>
      <w:r w:rsidRPr="00400EA3">
        <w:rPr>
          <w:sz w:val="18"/>
        </w:rPr>
        <w:t>.</w:t>
      </w:r>
      <w:r w:rsidRPr="00400EA3">
        <w:rPr>
          <w:sz w:val="18"/>
        </w:rPr>
        <w:tab/>
      </w:r>
      <w:proofErr w:type="spellStart"/>
      <w:r w:rsidRPr="00400EA3">
        <w:rPr>
          <w:sz w:val="18"/>
        </w:rPr>
        <w:t>Catalin</w:t>
      </w:r>
      <w:proofErr w:type="spellEnd"/>
      <w:r w:rsidRPr="00400EA3">
        <w:rPr>
          <w:sz w:val="18"/>
        </w:rPr>
        <w:t>, B. (2011), “Clusters Models, Factors and Characteristics”, International Journal of Economic Practices and Theories, Vol. 1 No. 1, pp. 36-38</w:t>
      </w:r>
    </w:p>
    <w:p w:rsidR="009F4DBB" w:rsidRDefault="009F4DBB" w:rsidP="00791C80">
      <w:pPr>
        <w:ind w:left="270" w:hanging="270"/>
        <w:jc w:val="both"/>
        <w:rPr>
          <w:sz w:val="18"/>
        </w:rPr>
      </w:pPr>
    </w:p>
    <w:p w:rsidR="009F4DBB" w:rsidRDefault="00400EA3" w:rsidP="00791C80">
      <w:pPr>
        <w:ind w:left="270" w:hanging="270"/>
        <w:jc w:val="both"/>
        <w:rPr>
          <w:sz w:val="18"/>
        </w:rPr>
      </w:pPr>
      <w:r>
        <w:rPr>
          <w:sz w:val="18"/>
        </w:rPr>
        <w:t>3</w:t>
      </w:r>
      <w:r w:rsidR="009F4DBB">
        <w:rPr>
          <w:sz w:val="18"/>
        </w:rPr>
        <w:t>.</w:t>
      </w:r>
      <w:r w:rsidR="009F4DBB">
        <w:rPr>
          <w:sz w:val="18"/>
        </w:rPr>
        <w:tab/>
      </w:r>
      <w:r w:rsidRPr="00400EA3">
        <w:rPr>
          <w:sz w:val="18"/>
        </w:rPr>
        <w:t xml:space="preserve">Gardner, J.T. &amp; Cooper, M.C. (2003), “Strategic supply chain mapping </w:t>
      </w:r>
      <w:proofErr w:type="spellStart"/>
      <w:r w:rsidRPr="00400EA3">
        <w:rPr>
          <w:sz w:val="18"/>
        </w:rPr>
        <w:t>mapping</w:t>
      </w:r>
      <w:proofErr w:type="spellEnd"/>
      <w:r w:rsidRPr="00400EA3">
        <w:rPr>
          <w:sz w:val="18"/>
        </w:rPr>
        <w:t xml:space="preserve"> approaches”, Journal of Business Logistics, Vol. 24, No. 3, pp. 37-64</w:t>
      </w:r>
    </w:p>
    <w:sectPr w:rsidR="009F4DBB" w:rsidSect="004138FB">
      <w:headerReference w:type="default" r:id="rId17"/>
      <w:type w:val="continuous"/>
      <w:pgSz w:w="11908" w:h="16838" w:code="9"/>
      <w:pgMar w:top="1134" w:right="1134" w:bottom="1134" w:left="1134" w:header="720" w:footer="720" w:gutter="567"/>
      <w:cols w:num="2" w:space="567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39F" w:rsidRDefault="00BB639F">
      <w:r>
        <w:separator/>
      </w:r>
    </w:p>
  </w:endnote>
  <w:endnote w:type="continuationSeparator" w:id="0">
    <w:p w:rsidR="00BB639F" w:rsidRDefault="00BB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8FB" w:rsidRPr="004138FB" w:rsidRDefault="004138FB" w:rsidP="004138FB">
    <w:pPr>
      <w:pStyle w:val="Footer"/>
      <w:pBdr>
        <w:top w:val="single" w:sz="4" w:space="1" w:color="auto"/>
      </w:pBdr>
      <w:tabs>
        <w:tab w:val="clear" w:pos="4153"/>
        <w:tab w:val="center" w:pos="4524"/>
      </w:tabs>
      <w:ind w:firstLine="720"/>
      <w:rPr>
        <w:b/>
        <w:bCs/>
      </w:rPr>
    </w:pPr>
    <w:r>
      <w:rPr>
        <w:b/>
        <w:bCs/>
      </w:rPr>
      <w:tab/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 w:rsidR="006163EA">
      <w:rPr>
        <w:rStyle w:val="PageNumber"/>
        <w:b/>
        <w:bCs/>
        <w:noProof/>
      </w:rPr>
      <w:t>2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DBB" w:rsidRDefault="009F4DBB">
    <w:pPr>
      <w:pStyle w:val="Footer"/>
      <w:pBdr>
        <w:top w:val="single" w:sz="4" w:space="1" w:color="auto"/>
      </w:pBdr>
      <w:tabs>
        <w:tab w:val="clear" w:pos="4153"/>
        <w:tab w:val="center" w:pos="4524"/>
      </w:tabs>
      <w:ind w:firstLine="720"/>
      <w:rPr>
        <w:b/>
        <w:bCs/>
      </w:rPr>
    </w:pPr>
    <w:r>
      <w:rPr>
        <w:b/>
        <w:bCs/>
      </w:rPr>
      <w:tab/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 w:rsidR="006163EA"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 w:rsidR="004138FB">
      <w:rPr>
        <w:rStyle w:val="PageNumber"/>
        <w:b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39F" w:rsidRDefault="00BB639F">
      <w:r>
        <w:separator/>
      </w:r>
    </w:p>
  </w:footnote>
  <w:footnote w:type="continuationSeparator" w:id="0">
    <w:p w:rsidR="00BB639F" w:rsidRDefault="00BB6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DBB" w:rsidRPr="003B393D" w:rsidRDefault="00F74B9F">
    <w:pPr>
      <w:pBdr>
        <w:bottom w:val="single" w:sz="4" w:space="1" w:color="auto"/>
      </w:pBdr>
      <w:ind w:right="1"/>
      <w:jc w:val="right"/>
      <w:rPr>
        <w:i/>
        <w:szCs w:val="20"/>
      </w:rPr>
    </w:pPr>
    <w:r>
      <w:rPr>
        <w:i/>
        <w:szCs w:val="20"/>
      </w:rPr>
      <w:t>R4TLI</w:t>
    </w:r>
    <w:r w:rsidR="009F4DBB" w:rsidRPr="003B393D">
      <w:rPr>
        <w:i/>
        <w:szCs w:val="20"/>
      </w:rPr>
      <w:t>/pub/guide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DBB" w:rsidRDefault="009F4D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5CA"/>
    <w:multiLevelType w:val="hybridMultilevel"/>
    <w:tmpl w:val="78EA4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A73642"/>
    <w:multiLevelType w:val="hybridMultilevel"/>
    <w:tmpl w:val="75084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CB2A41"/>
    <w:multiLevelType w:val="hybridMultilevel"/>
    <w:tmpl w:val="A59CC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60344F"/>
    <w:multiLevelType w:val="hybridMultilevel"/>
    <w:tmpl w:val="E6362D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A316D67"/>
    <w:multiLevelType w:val="hybridMultilevel"/>
    <w:tmpl w:val="B664BD9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5ED9"/>
    <w:rsid w:val="000023EA"/>
    <w:rsid w:val="00016F43"/>
    <w:rsid w:val="00024713"/>
    <w:rsid w:val="0004074B"/>
    <w:rsid w:val="000431F6"/>
    <w:rsid w:val="000531B5"/>
    <w:rsid w:val="00054C21"/>
    <w:rsid w:val="00063EE5"/>
    <w:rsid w:val="00093843"/>
    <w:rsid w:val="000B2CA0"/>
    <w:rsid w:val="000C4B70"/>
    <w:rsid w:val="000E1357"/>
    <w:rsid w:val="000E19A6"/>
    <w:rsid w:val="00116FA1"/>
    <w:rsid w:val="00197A93"/>
    <w:rsid w:val="001A10AC"/>
    <w:rsid w:val="001E0467"/>
    <w:rsid w:val="001E1212"/>
    <w:rsid w:val="001E5375"/>
    <w:rsid w:val="001E72E7"/>
    <w:rsid w:val="00255ACB"/>
    <w:rsid w:val="00275CBB"/>
    <w:rsid w:val="0029432B"/>
    <w:rsid w:val="002A01FA"/>
    <w:rsid w:val="002A35FF"/>
    <w:rsid w:val="002C1CA5"/>
    <w:rsid w:val="002C7ECC"/>
    <w:rsid w:val="002D4FDE"/>
    <w:rsid w:val="002D5ED9"/>
    <w:rsid w:val="002D7A88"/>
    <w:rsid w:val="003025C3"/>
    <w:rsid w:val="0032503C"/>
    <w:rsid w:val="003B393D"/>
    <w:rsid w:val="00400EA3"/>
    <w:rsid w:val="0040558B"/>
    <w:rsid w:val="004138FB"/>
    <w:rsid w:val="00417648"/>
    <w:rsid w:val="00431C4E"/>
    <w:rsid w:val="004501E7"/>
    <w:rsid w:val="004734D3"/>
    <w:rsid w:val="004800A0"/>
    <w:rsid w:val="0048407C"/>
    <w:rsid w:val="0049031A"/>
    <w:rsid w:val="004B7CBE"/>
    <w:rsid w:val="004F3B13"/>
    <w:rsid w:val="00525547"/>
    <w:rsid w:val="00527E16"/>
    <w:rsid w:val="00553A7D"/>
    <w:rsid w:val="00574C30"/>
    <w:rsid w:val="00586907"/>
    <w:rsid w:val="005E3D08"/>
    <w:rsid w:val="005F6AE3"/>
    <w:rsid w:val="006163EA"/>
    <w:rsid w:val="0069212D"/>
    <w:rsid w:val="006C39F6"/>
    <w:rsid w:val="006D1E28"/>
    <w:rsid w:val="006E559E"/>
    <w:rsid w:val="006F0B84"/>
    <w:rsid w:val="006F27FC"/>
    <w:rsid w:val="007536F9"/>
    <w:rsid w:val="00763B06"/>
    <w:rsid w:val="00775495"/>
    <w:rsid w:val="00781DC6"/>
    <w:rsid w:val="00791C80"/>
    <w:rsid w:val="007934D8"/>
    <w:rsid w:val="007A7698"/>
    <w:rsid w:val="007C71EC"/>
    <w:rsid w:val="00830C41"/>
    <w:rsid w:val="00865054"/>
    <w:rsid w:val="00875AC5"/>
    <w:rsid w:val="008861BB"/>
    <w:rsid w:val="008877C1"/>
    <w:rsid w:val="0089385A"/>
    <w:rsid w:val="008A6EE1"/>
    <w:rsid w:val="00921D71"/>
    <w:rsid w:val="009223FF"/>
    <w:rsid w:val="009721B8"/>
    <w:rsid w:val="00981FCB"/>
    <w:rsid w:val="00992F25"/>
    <w:rsid w:val="009A3260"/>
    <w:rsid w:val="009C7DB9"/>
    <w:rsid w:val="009E12CA"/>
    <w:rsid w:val="009E39B1"/>
    <w:rsid w:val="009F4DBB"/>
    <w:rsid w:val="00A333B5"/>
    <w:rsid w:val="00A5010D"/>
    <w:rsid w:val="00A600DF"/>
    <w:rsid w:val="00A90CB1"/>
    <w:rsid w:val="00A937D2"/>
    <w:rsid w:val="00AF0F67"/>
    <w:rsid w:val="00B021DA"/>
    <w:rsid w:val="00B165AA"/>
    <w:rsid w:val="00BA6690"/>
    <w:rsid w:val="00BB10C7"/>
    <w:rsid w:val="00BB639F"/>
    <w:rsid w:val="00BE7689"/>
    <w:rsid w:val="00C0629F"/>
    <w:rsid w:val="00C16263"/>
    <w:rsid w:val="00C36982"/>
    <w:rsid w:val="00C6579A"/>
    <w:rsid w:val="00C72839"/>
    <w:rsid w:val="00C93029"/>
    <w:rsid w:val="00CB7CAD"/>
    <w:rsid w:val="00CD1A7C"/>
    <w:rsid w:val="00CD4387"/>
    <w:rsid w:val="00CF4C2C"/>
    <w:rsid w:val="00D05DC8"/>
    <w:rsid w:val="00D138F1"/>
    <w:rsid w:val="00D37BE0"/>
    <w:rsid w:val="00D72666"/>
    <w:rsid w:val="00D741E9"/>
    <w:rsid w:val="00DD62AC"/>
    <w:rsid w:val="00E1483D"/>
    <w:rsid w:val="00E56DB9"/>
    <w:rsid w:val="00EB6E06"/>
    <w:rsid w:val="00F00EDC"/>
    <w:rsid w:val="00F01DC2"/>
    <w:rsid w:val="00F74B9F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 Antiqua" w:hAnsi="Book Antiqua"/>
      <w:szCs w:val="24"/>
      <w:lang w:val="en-AU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-18"/>
      <w:jc w:val="both"/>
    </w:p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sid w:val="005869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907"/>
    <w:rPr>
      <w:szCs w:val="20"/>
    </w:rPr>
  </w:style>
  <w:style w:type="character" w:customStyle="1" w:styleId="CommentTextChar">
    <w:name w:val="Comment Text Char"/>
    <w:link w:val="CommentText"/>
    <w:rsid w:val="00586907"/>
    <w:rPr>
      <w:rFonts w:ascii="Book Antiqua" w:hAnsi="Book Antiqua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586907"/>
    <w:rPr>
      <w:b/>
      <w:bCs/>
    </w:rPr>
  </w:style>
  <w:style w:type="character" w:customStyle="1" w:styleId="CommentSubjectChar">
    <w:name w:val="Comment Subject Char"/>
    <w:link w:val="CommentSubject"/>
    <w:rsid w:val="00586907"/>
    <w:rPr>
      <w:rFonts w:ascii="Book Antiqua" w:hAnsi="Book Antiqua"/>
      <w:b/>
      <w:bCs/>
      <w:lang w:val="en-AU"/>
    </w:rPr>
  </w:style>
  <w:style w:type="paragraph" w:styleId="BalloonText">
    <w:name w:val="Balloon Text"/>
    <w:basedOn w:val="Normal"/>
    <w:link w:val="BalloonTextChar"/>
    <w:rsid w:val="0058690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6907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D05DC8"/>
    <w:pPr>
      <w:ind w:left="720"/>
    </w:pPr>
  </w:style>
  <w:style w:type="table" w:styleId="TableGrid">
    <w:name w:val="Table Grid"/>
    <w:basedOn w:val="TableNormal"/>
    <w:rsid w:val="00D74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pt%20of%20TLM\Downloads\www.ciltsl.com" TargetMode="External"/><Relationship Id="rId13" Type="http://schemas.openxmlformats.org/officeDocument/2006/relationships/hyperlink" Target="https://easychair.org/conferences/?conf=r4tli2016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https://bryantanner.files.wordpress.com/2012/09/porter-value-chain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umarage@sltnet.lk" TargetMode="External"/><Relationship Id="rId14" Type="http://schemas.openxmlformats.org/officeDocument/2006/relationships/hyperlink" Target="mailto:ganga.s@sliit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 – Instructions to Authors</vt:lpstr>
    </vt:vector>
  </TitlesOfParts>
  <Company>Hewlett-Packard</Company>
  <LinksUpToDate>false</LinksUpToDate>
  <CharactersWithSpaces>6372</CharactersWithSpaces>
  <SharedDoc>false</SharedDoc>
  <HLinks>
    <vt:vector size="30" baseType="variant">
      <vt:variant>
        <vt:i4>8060937</vt:i4>
      </vt:variant>
      <vt:variant>
        <vt:i4>9</vt:i4>
      </vt:variant>
      <vt:variant>
        <vt:i4>0</vt:i4>
      </vt:variant>
      <vt:variant>
        <vt:i4>5</vt:i4>
      </vt:variant>
      <vt:variant>
        <vt:lpwstr>mailto:ganga.s@sliit.lk</vt:lpwstr>
      </vt:variant>
      <vt:variant>
        <vt:lpwstr/>
      </vt:variant>
      <vt:variant>
        <vt:i4>5177434</vt:i4>
      </vt:variant>
      <vt:variant>
        <vt:i4>6</vt:i4>
      </vt:variant>
      <vt:variant>
        <vt:i4>0</vt:i4>
      </vt:variant>
      <vt:variant>
        <vt:i4>5</vt:i4>
      </vt:variant>
      <vt:variant>
        <vt:lpwstr>https://easychair.org/conferences/?conf=r4tli2016</vt:lpwstr>
      </vt:variant>
      <vt:variant>
        <vt:lpwstr/>
      </vt:variant>
      <vt:variant>
        <vt:i4>2818070</vt:i4>
      </vt:variant>
      <vt:variant>
        <vt:i4>3</vt:i4>
      </vt:variant>
      <vt:variant>
        <vt:i4>0</vt:i4>
      </vt:variant>
      <vt:variant>
        <vt:i4>5</vt:i4>
      </vt:variant>
      <vt:variant>
        <vt:lpwstr>mailto:kumarage@sltnet.lk</vt:lpwstr>
      </vt:variant>
      <vt:variant>
        <vt:lpwstr/>
      </vt:variant>
      <vt:variant>
        <vt:i4>2490429</vt:i4>
      </vt:variant>
      <vt:variant>
        <vt:i4>0</vt:i4>
      </vt:variant>
      <vt:variant>
        <vt:i4>0</vt:i4>
      </vt:variant>
      <vt:variant>
        <vt:i4>5</vt:i4>
      </vt:variant>
      <vt:variant>
        <vt:lpwstr>www.ciltsl.com</vt:lpwstr>
      </vt:variant>
      <vt:variant>
        <vt:lpwstr/>
      </vt:variant>
      <vt:variant>
        <vt:i4>6619259</vt:i4>
      </vt:variant>
      <vt:variant>
        <vt:i4>-1</vt:i4>
      </vt:variant>
      <vt:variant>
        <vt:i4>1027</vt:i4>
      </vt:variant>
      <vt:variant>
        <vt:i4>1</vt:i4>
      </vt:variant>
      <vt:variant>
        <vt:lpwstr>https://bryantanner.files.wordpress.com/2012/09/porter-value-chain.png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 – Instructions to Authors</dc:title>
  <dc:creator>Administrator</dc:creator>
  <cp:lastModifiedBy>Thivya</cp:lastModifiedBy>
  <cp:revision>3</cp:revision>
  <cp:lastPrinted>2011-04-06T09:41:00Z</cp:lastPrinted>
  <dcterms:created xsi:type="dcterms:W3CDTF">2016-02-13T02:49:00Z</dcterms:created>
  <dcterms:modified xsi:type="dcterms:W3CDTF">2016-02-13T02:54:00Z</dcterms:modified>
</cp:coreProperties>
</file>